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A8578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26251e"/>
        </w:pBdr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6251E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6251E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51E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51E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6251E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|  https://github.com/qiaodeli111/ResumeForge.git  2026.04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51E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6251E"/>
          <w:sz w:val="20"/>
        </w:rPr>
        <w:t>（Apple/Tesla/Stripe/Vercel等）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51E"/>
          <w:sz w:val="20"/>
        </w:rPr>
        <w:t>HTML/PDF/DOCX</w:t>
      </w:r>
      <w:r>
        <w:rPr>
          <w:rFonts w:ascii="PingFang SC" w:hAnsi="PingFang SC" w:eastAsia="PingFang SC"/>
          <w:b w:val="0"/>
          <w:color w:val="26251E"/>
          <w:sz w:val="20"/>
        </w:rPr>
        <w:t>三种格式，中英双语支持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模块化架构设计：内容与样式分离，主题配置热插拔，支持自定义主题扩展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应用技术：Python、Jinja2模板引擎、python-docx、Chrome Headless PDF渲染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 xml:space="preserve">统筹 </w:t>
      </w:r>
      <w:r>
        <w:rPr>
          <w:rFonts w:ascii="PingFang SC" w:hAnsi="PingFang SC" w:eastAsia="PingFang SC"/>
          <w:b/>
          <w:color w:val="8A8578"/>
          <w:sz w:val="20"/>
        </w:rPr>
        <w:t>7个并行项目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8A8578"/>
          <w:sz w:val="20"/>
        </w:rPr>
        <w:t>5+客户站点</w:t>
      </w:r>
      <w:r>
        <w:rPr>
          <w:rFonts w:ascii="PingFang SC" w:hAnsi="PingFang SC" w:eastAsia="PingFang SC"/>
          <w:b w:val="0"/>
          <w:color w:val="8A8578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Kubernetes平台建设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制定ArgoCD GitOps规范：Git仓库分离、Helm版本管理、环境晋级流程，迁移至"Git PR即部署"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CloudStack私有云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6251E"/>
          <w:sz w:val="20"/>
        </w:rPr>
        <w:t>230k → 800k</w:t>
      </w:r>
      <w:r>
        <w:rPr>
          <w:rFonts w:ascii="PingFang SC" w:hAnsi="PingFang SC" w:eastAsia="PingFang SC"/>
          <w:b w:val="0"/>
          <w:color w:val="26251E"/>
          <w:sz w:val="20"/>
        </w:rPr>
        <w:t>；修复DRBD心跳参数实现</w:t>
      </w:r>
      <w:r>
        <w:rPr>
          <w:rFonts w:ascii="PingFang SC" w:hAnsi="PingFang SC" w:eastAsia="PingFang SC"/>
          <w:b/>
          <w:color w:val="26251E"/>
          <w:sz w:val="20"/>
        </w:rPr>
        <w:t>7×24稳定运行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排查疑难故障：VM创建失败、迁移中断、只读模式触发，完成根因分析与patch提交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可观测建设：告警响应从</w:t>
      </w:r>
      <w:r>
        <w:rPr>
          <w:rFonts w:ascii="PingFang SC" w:hAnsi="PingFang SC" w:eastAsia="PingFang SC"/>
          <w:b/>
          <w:color w:val="26251E"/>
          <w:sz w:val="20"/>
        </w:rPr>
        <w:t>小时级→分钟级</w:t>
      </w:r>
      <w:r>
        <w:rPr>
          <w:rFonts w:ascii="PingFang SC" w:hAnsi="PingFang SC" w:eastAsia="PingFang SC"/>
          <w:b w:val="0"/>
          <w:color w:val="26251E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BMAAS裸金属自动化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扩展Tinkerbell/HookOS：新增Rescue模式、redfish-batch-ISO工具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镜像工厂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5类OS × 3架构全矩阵打包；集成Goss/Lynis/Trivy自动化测试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国产化适配：龙蜥ARM（ZFS/DRBD HA联调）、UOS海光C86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流水线零失败</w:t>
      </w:r>
      <w:r>
        <w:rPr>
          <w:rFonts w:ascii="PingFang SC" w:hAnsi="PingFang SC" w:eastAsia="PingFang SC"/>
          <w:b/>
          <w:color w:val="26251E"/>
          <w:sz w:val="20"/>
        </w:rPr>
        <w:t>30天+</w:t>
      </w:r>
      <w:r>
        <w:rPr>
          <w:rFonts w:ascii="PingFang SC" w:hAnsi="PingFang SC" w:eastAsia="PingFang SC"/>
          <w:b w:val="0"/>
          <w:color w:val="26251E"/>
          <w:sz w:val="20"/>
        </w:rPr>
        <w:t>，效率提升</w:t>
      </w:r>
      <w:r>
        <w:rPr>
          <w:rFonts w:ascii="PingFang SC" w:hAnsi="PingFang SC" w:eastAsia="PingFang SC"/>
          <w:b/>
          <w:color w:val="26251E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JetDev工具链（专利软著成果）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自研一站式DevOps工具箱：集成Ansible/Terraform/Packer/GitLab Runner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6251E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申请</w:t>
      </w:r>
      <w:r>
        <w:rPr>
          <w:rFonts w:ascii="PingFang SC" w:hAnsi="PingFang SC" w:eastAsia="PingFang SC"/>
          <w:b/>
          <w:color w:val="26251E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6251E"/>
          <w:sz w:val="20"/>
        </w:rPr>
        <w:t>、</w:t>
      </w:r>
      <w:r>
        <w:rPr>
          <w:rFonts w:ascii="PingFang SC" w:hAnsi="PingFang SC" w:eastAsia="PingFang SC"/>
          <w:b/>
          <w:color w:val="26251E"/>
          <w:sz w:val="20"/>
        </w:rPr>
        <w:t>软件著作2025SR2538156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IBM深圳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自动化运维体系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从"手工+脚本"转型为</w:t>
      </w:r>
      <w:r>
        <w:rPr>
          <w:rFonts w:ascii="PingFang SC" w:hAnsi="PingFang SC" w:eastAsia="PingFang SC"/>
          <w:b/>
          <w:color w:val="26251E"/>
          <w:sz w:val="20"/>
        </w:rPr>
        <w:t>"本地开发 + 自动化构建测试 + 一键部署回滚"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团队运维效率</w:t>
      </w:r>
      <w:r>
        <w:rPr>
          <w:rFonts w:ascii="PingFang SC" w:hAnsi="PingFang SC" w:eastAsia="PingFang SC"/>
          <w:b/>
          <w:color w:val="26251E"/>
          <w:sz w:val="20"/>
        </w:rPr>
        <w:t>+50%</w:t>
      </w:r>
      <w:r>
        <w:rPr>
          <w:rFonts w:ascii="PingFang SC" w:hAnsi="PingFang SC" w:eastAsia="PingFang SC"/>
          <w:b w:val="0"/>
          <w:color w:val="26251E"/>
          <w:sz w:val="20"/>
        </w:rPr>
        <w:t>，质量</w:t>
      </w:r>
      <w:r>
        <w:rPr>
          <w:rFonts w:ascii="PingFang SC" w:hAnsi="PingFang SC" w:eastAsia="PingFang SC"/>
          <w:b/>
          <w:color w:val="26251E"/>
          <w:sz w:val="20"/>
        </w:rPr>
        <w:t>+90%</w:t>
      </w:r>
      <w:r>
        <w:rPr>
          <w:rFonts w:ascii="PingFang SC" w:hAnsi="PingFang SC" w:eastAsia="PingFang SC"/>
          <w:b w:val="0"/>
          <w:color w:val="26251E"/>
          <w:sz w:val="20"/>
        </w:rPr>
        <w:t>，人为失误几乎归零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客户应用部署时间</w:t>
      </w:r>
      <w:r>
        <w:rPr>
          <w:rFonts w:ascii="PingFang SC" w:hAnsi="PingFang SC" w:eastAsia="PingFang SC"/>
          <w:b/>
          <w:color w:val="26251E"/>
          <w:sz w:val="20"/>
        </w:rPr>
        <w:t>-80%</w:t>
      </w:r>
      <w:r>
        <w:rPr>
          <w:rFonts w:ascii="PingFang SC" w:hAnsi="PingFang SC" w:eastAsia="PingFang SC"/>
          <w:b w:val="0"/>
          <w:color w:val="26251E"/>
          <w:sz w:val="20"/>
        </w:rPr>
        <w:t>，变更请求处理时间</w:t>
      </w:r>
      <w:r>
        <w:rPr>
          <w:rFonts w:ascii="PingFang SC" w:hAnsi="PingFang SC" w:eastAsia="PingFang SC"/>
          <w:b/>
          <w:color w:val="26251E"/>
          <w:sz w:val="20"/>
        </w:rPr>
        <w:t>-50%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AWS架构咨询 · 云上方案设计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6251E"/>
          <w:sz w:val="20"/>
        </w:rPr>
        <w:t>ECS → EKS</w:t>
      </w:r>
      <w:r>
        <w:rPr>
          <w:rFonts w:ascii="PingFang SC" w:hAnsi="PingFang SC" w:eastAsia="PingFang SC"/>
          <w:b w:val="0"/>
          <w:color w:val="26251E"/>
          <w:sz w:val="20"/>
        </w:rPr>
        <w:t>集群化改造，Global Accelerator分流加速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团队与成就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连续</w:t>
      </w:r>
      <w:r>
        <w:rPr>
          <w:rFonts w:ascii="PingFang SC" w:hAnsi="PingFang SC" w:eastAsia="PingFang SC"/>
          <w:b/>
          <w:color w:val="26251E"/>
          <w:sz w:val="20"/>
        </w:rPr>
        <w:t>6年</w:t>
      </w:r>
      <w:r>
        <w:rPr>
          <w:rFonts w:ascii="PingFang SC" w:hAnsi="PingFang SC" w:eastAsia="PingFang SC"/>
          <w:b w:val="0"/>
          <w:color w:val="26251E"/>
          <w:sz w:val="20"/>
        </w:rPr>
        <w:t>年度考核"Exceed Expectation"（超出预期）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管理</w:t>
      </w:r>
      <w:r>
        <w:rPr>
          <w:rFonts w:ascii="PingFang SC" w:hAnsi="PingFang SC" w:eastAsia="PingFang SC"/>
          <w:b/>
          <w:color w:val="26251E"/>
          <w:sz w:val="20"/>
        </w:rPr>
        <w:t>4-10人</w:t>
      </w:r>
      <w:r>
        <w:rPr>
          <w:rFonts w:ascii="PingFang SC" w:hAnsi="PingFang SC" w:eastAsia="PingFang SC"/>
          <w:b w:val="0"/>
          <w:color w:val="26251E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变更管理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审核 RFC 变更请求：业务需求、风险评估、执行计划、回滚计划全流程把关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/>
          <w:color w:val="26251E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6251E"/>
          <w:sz w:val="20"/>
        </w:rPr>
        <w:t>合规变更文档审查，确保完整性与合规签署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6251E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6251E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578"/>
          <w:sz w:val="20"/>
        </w:rPr>
        <w:t xml:space="preserve">为 </w:t>
      </w:r>
      <w:r>
        <w:rPr>
          <w:rFonts w:ascii="PingFang SC" w:hAnsi="PingFang SC" w:eastAsia="PingFang SC"/>
          <w:b/>
          <w:color w:val="8A8578"/>
          <w:sz w:val="20"/>
        </w:rPr>
        <w:t>AIA 友邦保险</w:t>
      </w:r>
      <w:r>
        <w:rPr>
          <w:rFonts w:ascii="PingFang SC" w:hAnsi="PingFang SC" w:eastAsia="PingFang SC"/>
          <w:b w:val="0"/>
          <w:color w:val="8A8578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团队领导与自动化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带领</w:t>
      </w:r>
      <w:r>
        <w:rPr>
          <w:rFonts w:ascii="PingFang SC" w:hAnsi="PingFang SC" w:eastAsia="PingFang SC"/>
          <w:b/>
          <w:color w:val="26251E"/>
          <w:sz w:val="20"/>
        </w:rPr>
        <w:t>4人国际团队</w:t>
      </w:r>
      <w:r>
        <w:rPr>
          <w:rFonts w:ascii="PingFang SC" w:hAnsi="PingFang SC" w:eastAsia="PingFang SC"/>
          <w:b w:val="0"/>
          <w:color w:val="26251E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6251E"/>
          <w:sz w:val="20"/>
        </w:rPr>
        <w:t>10% → 50%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51E"/>
          <w:sz w:val="20"/>
        </w:rPr>
        <w:t>▸ 关键项目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主导多站点</w:t>
      </w:r>
      <w:r>
        <w:rPr>
          <w:rFonts w:ascii="PingFang SC" w:hAnsi="PingFang SC" w:eastAsia="PingFang SC"/>
          <w:b/>
          <w:color w:val="26251E"/>
          <w:sz w:val="20"/>
        </w:rPr>
        <w:t>数据中心迁移</w:t>
      </w:r>
      <w:r>
        <w:rPr>
          <w:rFonts w:ascii="PingFang SC" w:hAnsi="PingFang SC" w:eastAsia="PingFang SC"/>
          <w:b w:val="0"/>
          <w:color w:val="26251E"/>
          <w:sz w:val="20"/>
        </w:rPr>
        <w:t>、网站分割、新系统建立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 xml:space="preserve">主导 </w:t>
      </w:r>
      <w:r>
        <w:rPr>
          <w:rFonts w:ascii="PingFang SC" w:hAnsi="PingFang SC" w:eastAsia="PingFang SC"/>
          <w:b/>
          <w:color w:val="26251E"/>
          <w:sz w:val="20"/>
        </w:rPr>
        <w:t>IBM WAS 6 → WAS 8</w:t>
      </w:r>
      <w:r>
        <w:rPr>
          <w:rFonts w:ascii="PingFang SC" w:hAnsi="PingFang SC" w:eastAsia="PingFang SC"/>
          <w:b w:val="0"/>
          <w:color w:val="26251E"/>
          <w:sz w:val="20"/>
        </w:rPr>
        <w:t xml:space="preserve"> 中间件跨版本升级迁移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SSL 证书管理、灾备测试、Zabbix 监控体系维护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26251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51E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6251E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0"/>
        </w:rPr>
        <w:t>AWS SAA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CKA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RHCE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Azure Admin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阿里云ACP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PMP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6251E"/>
          <w:sz w:val="20"/>
        </w:rPr>
        <w:t>ITIL® Foundation</w:t>
      </w:r>
      <w:r>
        <w:rPr>
          <w:rFonts w:ascii="PingFang SC" w:hAnsi="PingFang SC" w:eastAsia="PingFang SC"/>
          <w:b w:val="0"/>
          <w:color w:val="8A8578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PingFang SC" w:hAnsi="PingFang SC" w:eastAsia="PingFang SC"/>
          <w:b/>
          <w:color w:val="26251E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6251E"/>
          <w:sz w:val="28"/>
        </w:rPr>
        <w:t>天津工业大学</w:t>
      </w:r>
      <w:r>
        <w:rPr>
          <w:rFonts w:ascii="PingFang SC" w:hAnsi="PingFang SC" w:eastAsia="PingFang SC"/>
          <w:b/>
          <w:color w:val="26251E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8A857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51E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