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5E6AD2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A8F98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5e6ad2"/>
        </w:pBdr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E6AD2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ZFS Storage Performance Tuning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IOPS 230k → 800k (3.5× improvement)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Image Factory Pipeline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Private Cloud Platform Delivery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Parallel Project Coordination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7 projects running simultaneously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Operations Efficiency (IBM Era)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Invention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5E6AD2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Software Copyright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5E6AD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CONTAINER ORCHESTRATION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IAC AUTOMATION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SECURITY &amp; COMPLIANCE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OPERATING SYSTEMS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LANGUAGES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7F8F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7F8F8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7F8F8"/>
          <w:sz w:val="20"/>
        </w:rPr>
        <w:t>HTML/PDF/DOCX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8A8F98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8A8F98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8A8F9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7F8F8"/>
          <w:sz w:val="20"/>
        </w:rPr>
        <w:t>230k → 800k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7F8F8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7F8F8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7F8F8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7F8F8"/>
          <w:sz w:val="20"/>
        </w:rPr>
        <w:t>30+ days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7F8F8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7F8F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7F8F8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, </w:t>
      </w:r>
      <w:r>
        <w:rPr>
          <w:rFonts w:ascii="Helvetica Neue" w:hAnsi="Helvetica Neue" w:eastAsia="Helvetica Neue"/>
          <w:b/>
          <w:color w:val="F7F8F8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IBM Shenzhen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7F8F8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7F8F8"/>
          <w:sz w:val="20"/>
        </w:rPr>
        <w:t>+50%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7F8F8"/>
          <w:sz w:val="20"/>
        </w:rPr>
        <w:t>+90%</w:t>
      </w:r>
      <w:r>
        <w:rPr>
          <w:rFonts w:ascii="Helvetica Neue" w:hAnsi="Helvetica Neue" w:eastAsia="Helvetica Neue"/>
          <w:b w:val="0"/>
          <w:color w:val="F7F8F8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7F8F8"/>
          <w:sz w:val="20"/>
        </w:rPr>
        <w:t>-80%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7F8F8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7F8F8"/>
          <w:sz w:val="20"/>
        </w:rPr>
        <w:t>ECS → EKS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7F8F8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7F8F8"/>
          <w:sz w:val="20"/>
        </w:rPr>
        <w:t>4-10 person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7F8F8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7F8F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8A8F98"/>
          <w:sz w:val="20"/>
        </w:rPr>
        <w:t>AIA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7F8F8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7F8F8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7F8F8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7F8F8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7F8F8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7F8F8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7F8F8"/>
          <w:sz w:val="20"/>
        </w:rPr>
        <w:t>AWS SAA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CKA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RHCE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Azure Admin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PMP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7F8F8"/>
          <w:sz w:val="28"/>
        </w:rPr>
        <w:t>Tiangong University</w:t>
      </w:r>
      <w:r>
        <w:rPr>
          <w:rFonts w:ascii="Helvetica Neue" w:hAnsi="Helvetica Neue" w:eastAsia="Helvetica Neue"/>
          <w:b/>
          <w:color w:val="5E6AD2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7F8F8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