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494"/>
        <w:gridCol w:w="7597"/>
      </w:tblGrid>
      <w:tr>
        <w:tc>
          <w:tcPr>
            <w:tcW w:type="dxa" w:w="249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440000" cy="136439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36439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404040"/>
                <w:sz w:val="56"/>
              </w:rPr>
              <w:t>乔德立</w:t>
            </w:r>
          </w:p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FFFFFF"/>
                <w:sz w:val="28"/>
              </w:rPr>
              <w:t>DevOps / Platform 专家</w:t>
            </w:r>
          </w:p>
          <w:p>
            <w:pPr>
              <w:spacing w:after="120"/>
            </w:pPr>
            <w:r>
              <w:rPr>
                <w:rFonts w:ascii="PingFang SC" w:hAnsi="PingFang SC" w:eastAsia="PingFang SC"/>
                <w:b w:val="0"/>
                <w:color w:val="767D88"/>
                <w:sz w:val="22"/>
              </w:rPr>
              <w:t>14 年基础设施自动化经验 · 多云平台工程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404040"/>
                <w:sz w:val="20"/>
              </w:rPr>
              <w:t>深圳   ·   15522013699   ·   qiaodeli111@126.com   ·   github.com/qiaodeli111</w:t>
            </w:r>
          </w:p>
        </w:tc>
      </w:tr>
    </w:tbl>
    <w:p>
      <w:pPr>
        <w:spacing w:before="160" w:after="160" w:line="324" w:lineRule="auto"/>
        <w:jc w:val="left"/>
        <w:pBdr>
          <w:bottom w:val="single" w:sz="6" w:space="4" w:color="27272a"/>
        </w:pBdr>
      </w:pPr>
    </w:p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 w:val="0"/>
          <w:color w:val="404040"/>
          <w:sz w:val="40"/>
        </w:rPr>
        <w:t>核心优势</w:t>
      </w:r>
    </w:p>
    <w:p>
      <w:pPr>
        <w:spacing w:before="0" w:after="200" w:line="324" w:lineRule="auto"/>
        <w:jc w:val="center"/>
      </w:pPr>
      <w:r>
        <w:rPr>
          <w:rFonts w:ascii="PingFang SC" w:hAnsi="PingFang SC" w:eastAsia="PingFang SC"/>
          <w:b/>
          <w:color w:val="FFFFFF"/>
          <w:sz w:val="24"/>
        </w:rPr>
        <w:t>14年DevOps/SRE经验 | IaC体系构建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1a1a1a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404040"/>
                <w:sz w:val="24"/>
              </w:rPr>
              <w:t>全栈自动化体系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404040"/>
                <w:sz w:val="20"/>
              </w:rPr>
              <w:t>从0到1构建覆盖物理机（BMAAS）、私有云及多云的全栈基础设施自动化体系</w:t>
            </w:r>
          </w:p>
        </w:tc>
        <w:tc>
          <w:tcPr>
            <w:tcW w:type="dxa" w:w="4819"/>
            <w:shd w:val="clear" w:color="auto" w:fill="1a1a1a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404040"/>
                <w:sz w:val="24"/>
              </w:rPr>
              <w:t>专利与软著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404040"/>
                <w:sz w:val="20"/>
              </w:rPr>
              <w:t>自研一站式DevOps工具箱并申请</w:t>
            </w:r>
            <w:r>
              <w:rPr>
                <w:rFonts w:ascii="PingFang SC" w:hAnsi="PingFang SC" w:eastAsia="PingFang SC"/>
                <w:b/>
                <w:color w:val="404040"/>
                <w:sz w:val="20"/>
              </w:rPr>
              <w:t>发明专利</w:t>
            </w:r>
            <w:r>
              <w:rPr>
                <w:rFonts w:ascii="PingFang SC" w:hAnsi="PingFang SC" w:eastAsia="PingFang SC"/>
                <w:b w:val="0"/>
                <w:color w:val="404040"/>
                <w:sz w:val="20"/>
              </w:rPr>
              <w:t>（CN121635905A）及</w:t>
            </w:r>
            <w:r>
              <w:rPr>
                <w:rFonts w:ascii="PingFang SC" w:hAnsi="PingFang SC" w:eastAsia="PingFang SC"/>
                <w:b/>
                <w:color w:val="404040"/>
                <w:sz w:val="20"/>
              </w:rPr>
              <w:t>软件著作</w:t>
            </w:r>
            <w:r>
              <w:rPr>
                <w:rFonts w:ascii="PingFang SC" w:hAnsi="PingFang SC" w:eastAsia="PingFang SC"/>
                <w:b w:val="0"/>
                <w:color w:val="404040"/>
                <w:sz w:val="20"/>
              </w:rPr>
              <w:t>（2025SR2538156）</w:t>
            </w:r>
          </w:p>
        </w:tc>
      </w:tr>
      <w:tr>
        <w:tc>
          <w:tcPr>
            <w:tcW w:type="dxa" w:w="4819"/>
            <w:shd w:val="clear" w:color="auto" w:fill="1a1a1a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404040"/>
                <w:sz w:val="24"/>
              </w:rPr>
              <w:t>国产化适配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404040"/>
                <w:sz w:val="20"/>
              </w:rPr>
              <w:t>完成龙蜥/UOS/OpenEuler等国产化平台全链路适配，支撑x86/ARM64/C86三架构标准化交付</w:t>
            </w:r>
          </w:p>
        </w:tc>
        <w:tc>
          <w:tcPr>
            <w:tcW w:type="dxa" w:w="4819"/>
            <w:shd w:val="clear" w:color="auto" w:fill="1a1a1a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404040"/>
                <w:sz w:val="24"/>
              </w:rPr>
              <w:t>认证资质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404040"/>
                <w:sz w:val="20"/>
              </w:rPr>
              <w:t>持有认证：</w:t>
            </w:r>
            <w:r>
              <w:rPr>
                <w:rFonts w:ascii="PingFang SC" w:hAnsi="PingFang SC" w:eastAsia="PingFang SC"/>
                <w:b/>
                <w:color w:val="404040"/>
                <w:sz w:val="20"/>
              </w:rPr>
              <w:t>AWS SAA · CKA · RHCE · Azure Admin · PMP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 w:val="0"/>
          <w:color w:val="404040"/>
          <w:sz w:val="40"/>
        </w:rPr>
        <w:t>核心成果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404040"/>
                <w:sz w:val="22"/>
              </w:rPr>
              <w:t>ZFS存储性能调优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2"/>
              </w:rPr>
              <w:t>IOPS 230k → 800k（3.5倍提升）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404040"/>
                <w:sz w:val="22"/>
              </w:rPr>
              <w:t>镜像工厂流水线效率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2"/>
              </w:rPr>
              <w:t>构建零失败30天+，效率提升3.2倍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404040"/>
                <w:sz w:val="22"/>
              </w:rPr>
              <w:t>私有云平台交付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2"/>
              </w:rPr>
              <w:t>自底而上的高可用，5+客户站点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404040"/>
                <w:sz w:val="22"/>
              </w:rPr>
              <w:t>并行项目统筹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2"/>
              </w:rPr>
              <w:t>7个项目同时推进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404040"/>
                <w:sz w:val="22"/>
              </w:rPr>
              <w:t>运维效率提升（IBM期间）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2"/>
              </w:rPr>
              <w:t>效率+50%，质量+90%，部署时间-80%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 w:val="0"/>
          <w:color w:val="404040"/>
          <w:sz w:val="40"/>
        </w:rPr>
        <w:t>专利与软著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1a1a1a"/>
            <w:tcBorders>
              <w:left w:val="single" w:sz="4" w:color="27272a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发明专利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JetDev运维工具链核心架构</w:t>
            </w:r>
            <w:r>
              <w:rPr>
                <w:rFonts w:ascii="PingFang SC" w:hAnsi="PingFang SC" w:eastAsia="PingFang SC"/>
                <w:b w:val="0"/>
                <w:color w:val="767D88"/>
                <w:sz w:val="20"/>
              </w:rPr>
              <w:t xml:space="preserve">  ·  CN121635905A</w:t>
            </w:r>
          </w:p>
        </w:tc>
      </w:tr>
      <w:tr>
        <w:tc>
          <w:tcPr>
            <w:tcW w:type="dxa" w:w="4819"/>
            <w:shd w:val="clear" w:color="auto" w:fill="1a1a1a"/>
            <w:tcBorders>
              <w:left w:val="single" w:sz="4" w:color="27272a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软件著作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JetDev一站式DevOps工具箱平台</w:t>
            </w:r>
            <w:r>
              <w:rPr>
                <w:rFonts w:ascii="PingFang SC" w:hAnsi="PingFang SC" w:eastAsia="PingFang SC"/>
                <w:b w:val="0"/>
                <w:color w:val="767D88"/>
                <w:sz w:val="20"/>
              </w:rPr>
              <w:t xml:space="preserve">  ·  2025SR2538156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 w:val="0"/>
          <w:color w:val="404040"/>
          <w:sz w:val="40"/>
        </w:rPr>
        <w:t>技术栈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云平台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404040"/>
                <w:sz w:val="20"/>
              </w:rPr>
              <w:t>CloudStack · AWS · 阿里云 · 华为云 · 天翼云 · Proxmox VE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容器编排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404040"/>
                <w:sz w:val="20"/>
              </w:rPr>
              <w:t>Kubernetes · Docker · Helm · Harbor · JFrog Artifactory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IAC 自动化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404040"/>
                <w:sz w:val="20"/>
              </w:rPr>
              <w:t>Terraform（自研Provider） · Ansible · Packer · Tinkerbell · cloud-init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存储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404040"/>
                <w:sz w:val="20"/>
              </w:rPr>
              <w:t>ZFS · DRBD · DRBD-Reactor · Linstor · LVM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监控可观测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404040"/>
                <w:sz w:val="20"/>
              </w:rPr>
              <w:t>Grafana · Prometheus · Alertmanager · Loki · Fluentd · Zabbix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安全合规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404040"/>
                <w:sz w:val="20"/>
              </w:rPr>
              <w:t>Vault · Nessus · Lynis · Consul ACL · SSL/TLS · Trivy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CI/CD &amp; GITOPS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404040"/>
                <w:sz w:val="20"/>
              </w:rPr>
              <w:t>GitLab CI · ArgoCD · Helm · Goss · Jenkins · Ansible Tower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操作系统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404040"/>
                <w:sz w:val="20"/>
              </w:rPr>
              <w:t>Ubuntu · 龙蜥 Anolis OS · UOS · OpenEuler（x86/ARM64/C86）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开发语言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404040"/>
                <w:sz w:val="20"/>
              </w:rPr>
              <w:t>Go · Python · Shell/Bash · HCL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 w:val="0"/>
          <w:color w:val="404040"/>
          <w:sz w:val="40"/>
        </w:rPr>
        <w:t>个人项目</w:t>
      </w:r>
    </w:p>
    <w:p>
      <w:pPr>
        <w:spacing w:after="40"/>
      </w:pPr>
      <w:r>
        <w:rPr>
          <w:rFonts w:ascii="PingFang SC" w:hAnsi="PingFang SC" w:eastAsia="PingFang SC"/>
          <w:b w:val="0"/>
          <w:color w:val="404040"/>
          <w:sz w:val="24"/>
        </w:rPr>
        <w:t>ResumeForge - 品牌级简历生成器</w:t>
      </w:r>
      <w:r>
        <w:rPr>
          <w:rFonts w:ascii="PingFang SC" w:hAnsi="PingFang SC" w:eastAsia="PingFang SC"/>
          <w:b w:val="0"/>
          <w:color w:val="767D88"/>
          <w:sz w:val="20"/>
        </w:rPr>
        <w:t xml:space="preserve">  |  https://github.com/qiaodeli111/ResumeForge.git  2026.04</w:t>
      </w:r>
    </w:p>
    <w:p>
      <w:pPr>
        <w:spacing w:after="60" w:line="312" w:lineRule="auto"/>
        <w:ind w:left="576"/>
      </w:pPr>
      <w:r>
        <w:rPr>
          <w:rFonts w:ascii="PingFang SC" w:hAnsi="PingFang SC" w:eastAsia="PingFang SC"/>
          <w:b/>
          <w:color w:val="FFFF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404040"/>
          <w:sz w:val="20"/>
        </w:rPr>
        <w:t>从零构建多主题简历生成系统，支持</w:t>
      </w:r>
      <w:r>
        <w:rPr>
          <w:rFonts w:ascii="PingFang SC" w:hAnsi="PingFang SC" w:eastAsia="PingFang SC"/>
          <w:b/>
          <w:color w:val="404040"/>
          <w:sz w:val="20"/>
        </w:rPr>
        <w:t>50+个品牌设计风格</w:t>
      </w:r>
      <w:r>
        <w:rPr>
          <w:rFonts w:ascii="PingFang SC" w:hAnsi="PingFang SC" w:eastAsia="PingFang SC"/>
          <w:b w:val="0"/>
          <w:color w:val="404040"/>
          <w:sz w:val="20"/>
        </w:rPr>
        <w:t>（Apple/Tesla/Stripe/Vercel等）</w:t>
      </w:r>
    </w:p>
    <w:p>
      <w:pPr>
        <w:spacing w:after="60" w:line="312" w:lineRule="auto"/>
        <w:ind w:left="576"/>
      </w:pPr>
      <w:r>
        <w:rPr>
          <w:rFonts w:ascii="PingFang SC" w:hAnsi="PingFang SC" w:eastAsia="PingFang SC"/>
          <w:b/>
          <w:color w:val="FFFF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404040"/>
          <w:sz w:val="20"/>
        </w:rPr>
        <w:t>YAML驱动的内容管理，一键生成</w:t>
      </w:r>
      <w:r>
        <w:rPr>
          <w:rFonts w:ascii="PingFang SC" w:hAnsi="PingFang SC" w:eastAsia="PingFang SC"/>
          <w:b/>
          <w:color w:val="404040"/>
          <w:sz w:val="20"/>
        </w:rPr>
        <w:t>HTML/PDF/DOCX</w:t>
      </w:r>
      <w:r>
        <w:rPr>
          <w:rFonts w:ascii="PingFang SC" w:hAnsi="PingFang SC" w:eastAsia="PingFang SC"/>
          <w:b w:val="0"/>
          <w:color w:val="404040"/>
          <w:sz w:val="20"/>
        </w:rPr>
        <w:t>三种格式，中英双语支持</w:t>
      </w:r>
    </w:p>
    <w:p>
      <w:pPr>
        <w:spacing w:after="60" w:line="312" w:lineRule="auto"/>
        <w:ind w:left="576"/>
      </w:pPr>
      <w:r>
        <w:rPr>
          <w:rFonts w:ascii="PingFang SC" w:hAnsi="PingFang SC" w:eastAsia="PingFang SC"/>
          <w:b/>
          <w:color w:val="FFFF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404040"/>
          <w:sz w:val="20"/>
        </w:rPr>
        <w:t>模块化架构设计：内容与样式分离，主题配置热插拔，支持自定义主题扩展</w:t>
      </w:r>
    </w:p>
    <w:p>
      <w:pPr>
        <w:spacing w:after="60" w:line="312" w:lineRule="auto"/>
        <w:ind w:left="576"/>
      </w:pPr>
      <w:r>
        <w:rPr>
          <w:rFonts w:ascii="PingFang SC" w:hAnsi="PingFang SC" w:eastAsia="PingFang SC"/>
          <w:b/>
          <w:color w:val="FFFF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404040"/>
          <w:sz w:val="20"/>
        </w:rPr>
        <w:t>应用技术：Python、Jinja2模板引擎、python-docx、Chrome Headless PDF渲染</w:t>
      </w:r>
    </w:p>
    <w:p>
      <w:pPr>
        <w:spacing w:after="60" w:line="312" w:lineRule="auto"/>
        <w:ind w:left="576"/>
      </w:pPr>
      <w:r>
        <w:rPr>
          <w:rFonts w:ascii="PingFang SC" w:hAnsi="PingFang SC" w:eastAsia="PingFang SC"/>
          <w:b/>
          <w:color w:val="FFFF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404040"/>
          <w:sz w:val="20"/>
        </w:rPr>
        <w:t>个人简历制成品演示站：https://resume.dellyqiao.com</w:t>
      </w:r>
    </w:p>
    <w:p>
      <w:pPr>
        <w:spacing w:after="160"/>
      </w:pPr>
    </w:p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 w:val="0"/>
          <w:color w:val="404040"/>
          <w:sz w:val="40"/>
        </w:rPr>
        <w:t>工作经历</w:t>
      </w:r>
    </w:p>
    <w:p>
      <w:pPr>
        <w:spacing w:before="160" w:after="40"/>
      </w:pPr>
      <w:r>
        <w:rPr>
          <w:rFonts w:ascii="PingFang SC" w:hAnsi="PingFang SC" w:eastAsia="PingFang SC"/>
          <w:b w:val="0"/>
          <w:color w:val="404040"/>
          <w:sz w:val="28"/>
        </w:rPr>
        <w:t>深圳捷誊技术有限公司</w:t>
      </w:r>
      <w:r>
        <w:rPr>
          <w:rFonts w:ascii="PingFang SC" w:hAnsi="PingFang SC" w:eastAsia="PingFang SC"/>
          <w:b w:val="0"/>
          <w:color w:val="767D88"/>
          <w:sz w:val="20"/>
        </w:rPr>
        <w:t xml:space="preserve">    2024.10 – 至今 | 深圳</w:t>
      </w:r>
    </w:p>
    <w:p>
      <w:pPr>
        <w:spacing w:after="80"/>
      </w:pPr>
      <w:r>
        <w:rPr>
          <w:rFonts w:ascii="PingFang SC" w:hAnsi="PingFang SC" w:eastAsia="PingFang SC"/>
          <w:b/>
          <w:color w:val="FFFFFF"/>
          <w:sz w:val="22"/>
        </w:rPr>
        <w:t>DevOps Team Lead</w:t>
      </w:r>
    </w:p>
    <w:p>
      <w:pPr>
        <w:spacing w:after="120"/>
      </w:pPr>
      <w:r>
        <w:rPr>
          <w:rFonts w:ascii="PingFang SC" w:hAnsi="PingFang SC" w:eastAsia="PingFang SC"/>
          <w:b w:val="0"/>
          <w:color w:val="767D88"/>
          <w:sz w:val="20"/>
        </w:rPr>
        <w:t xml:space="preserve">统筹 </w:t>
      </w:r>
      <w:r>
        <w:rPr>
          <w:rFonts w:ascii="PingFang SC" w:hAnsi="PingFang SC" w:eastAsia="PingFang SC"/>
          <w:b/>
          <w:color w:val="767D88"/>
          <w:sz w:val="20"/>
        </w:rPr>
        <w:t>7个并行项目</w:t>
      </w:r>
      <w:r>
        <w:rPr>
          <w:rFonts w:ascii="PingFang SC" w:hAnsi="PingFang SC" w:eastAsia="PingFang SC"/>
          <w:b w:val="0"/>
          <w:color w:val="767D88"/>
          <w:sz w:val="20"/>
        </w:rPr>
        <w:t xml:space="preserve">（BMAAS/Terraform/镜像工厂/CloudStack/K8s/IT支撑/JetDev），主导技术选型与架构设计，带领团队完成 </w:t>
      </w:r>
      <w:r>
        <w:rPr>
          <w:rFonts w:ascii="PingFang SC" w:hAnsi="PingFang SC" w:eastAsia="PingFang SC"/>
          <w:b/>
          <w:color w:val="767D88"/>
          <w:sz w:val="20"/>
        </w:rPr>
        <w:t>5+客户站点</w:t>
      </w:r>
      <w:r>
        <w:rPr>
          <w:rFonts w:ascii="PingFang SC" w:hAnsi="PingFang SC" w:eastAsia="PingFang SC"/>
          <w:b w:val="0"/>
          <w:color w:val="767D88"/>
          <w:sz w:val="20"/>
        </w:rPr>
        <w:t>交付。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404040"/>
          <w:sz w:val="20"/>
        </w:rPr>
        <w:t>▸ Kubernetes平台建设</w:t>
      </w:r>
    </w:p>
    <w:p>
      <w:pPr>
        <w:spacing w:after="60" w:line="312" w:lineRule="auto"/>
        <w:ind w:left="720"/>
      </w:pPr>
      <w:r>
        <w:rPr>
          <w:rFonts w:ascii="PingFang SC" w:hAnsi="PingFang SC" w:eastAsia="PingFang SC"/>
          <w:b/>
          <w:color w:val="FFFF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404040"/>
          <w:sz w:val="20"/>
        </w:rPr>
        <w:t>从0到1落地K8s on CloudStack：确立混合云架构（控制面托管VM + 工作负载运行K8s），完成etcd HA、Calico CNI、CSI集成</w:t>
      </w:r>
    </w:p>
    <w:p>
      <w:pPr>
        <w:spacing w:after="60" w:line="312" w:lineRule="auto"/>
        <w:ind w:left="720"/>
      </w:pPr>
      <w:r>
        <w:rPr>
          <w:rFonts w:ascii="PingFang SC" w:hAnsi="PingFang SC" w:eastAsia="PingFang SC"/>
          <w:b/>
          <w:color w:val="FFFF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404040"/>
          <w:sz w:val="20"/>
        </w:rPr>
        <w:t>制定ArgoCD GitOps规范：Git仓库分离、Helm版本管理、环境晋级流程，迁移至"Git PR即部署"</w:t>
      </w:r>
    </w:p>
    <w:p>
      <w:pPr>
        <w:spacing w:after="60" w:line="312" w:lineRule="auto"/>
        <w:ind w:left="720"/>
      </w:pPr>
      <w:r>
        <w:rPr>
          <w:rFonts w:ascii="PingFang SC" w:hAnsi="PingFang SC" w:eastAsia="PingFang SC"/>
          <w:b/>
          <w:color w:val="FFFF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404040"/>
          <w:sz w:val="20"/>
        </w:rPr>
        <w:t>核心服务迁移：JumpServer Helm Chart迁移（Cert-Manager SSL）；JFrog Artifactory高可用架构设计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404040"/>
          <w:sz w:val="20"/>
        </w:rPr>
        <w:t>▸ CloudStack私有云</w:t>
      </w:r>
    </w:p>
    <w:p>
      <w:pPr>
        <w:spacing w:after="60" w:line="312" w:lineRule="auto"/>
        <w:ind w:left="720"/>
      </w:pPr>
      <w:r>
        <w:rPr>
          <w:rFonts w:ascii="PingFang SC" w:hAnsi="PingFang SC" w:eastAsia="PingFang SC"/>
          <w:b/>
          <w:color w:val="FFFF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404040"/>
          <w:sz w:val="20"/>
        </w:rPr>
        <w:t xml:space="preserve">ZFS性能调优：IOPS </w:t>
      </w:r>
      <w:r>
        <w:rPr>
          <w:rFonts w:ascii="PingFang SC" w:hAnsi="PingFang SC" w:eastAsia="PingFang SC"/>
          <w:b/>
          <w:color w:val="404040"/>
          <w:sz w:val="20"/>
        </w:rPr>
        <w:t>230k → 800k</w:t>
      </w:r>
      <w:r>
        <w:rPr>
          <w:rFonts w:ascii="PingFang SC" w:hAnsi="PingFang SC" w:eastAsia="PingFang SC"/>
          <w:b w:val="0"/>
          <w:color w:val="404040"/>
          <w:sz w:val="20"/>
        </w:rPr>
        <w:t>；修复DRBD心跳参数实现</w:t>
      </w:r>
      <w:r>
        <w:rPr>
          <w:rFonts w:ascii="PingFang SC" w:hAnsi="PingFang SC" w:eastAsia="PingFang SC"/>
          <w:b/>
          <w:color w:val="404040"/>
          <w:sz w:val="20"/>
        </w:rPr>
        <w:t>7×24稳定运行</w:t>
      </w:r>
    </w:p>
    <w:p>
      <w:pPr>
        <w:spacing w:after="60" w:line="312" w:lineRule="auto"/>
        <w:ind w:left="720"/>
      </w:pPr>
      <w:r>
        <w:rPr>
          <w:rFonts w:ascii="PingFang SC" w:hAnsi="PingFang SC" w:eastAsia="PingFang SC"/>
          <w:b/>
          <w:color w:val="FFFF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404040"/>
          <w:sz w:val="20"/>
        </w:rPr>
        <w:t>排查疑难故障：VM创建失败、迁移中断、只读模式触发，完成根因分析与patch提交</w:t>
      </w:r>
    </w:p>
    <w:p>
      <w:pPr>
        <w:spacing w:after="60" w:line="312" w:lineRule="auto"/>
        <w:ind w:left="720"/>
      </w:pPr>
      <w:r>
        <w:rPr>
          <w:rFonts w:ascii="PingFang SC" w:hAnsi="PingFang SC" w:eastAsia="PingFang SC"/>
          <w:b/>
          <w:color w:val="FFFF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404040"/>
          <w:sz w:val="20"/>
        </w:rPr>
        <w:t>可观测建设：告警响应从</w:t>
      </w:r>
      <w:r>
        <w:rPr>
          <w:rFonts w:ascii="PingFang SC" w:hAnsi="PingFang SC" w:eastAsia="PingFang SC"/>
          <w:b/>
          <w:color w:val="404040"/>
          <w:sz w:val="20"/>
        </w:rPr>
        <w:t>小时级→分钟级</w:t>
      </w:r>
      <w:r>
        <w:rPr>
          <w:rFonts w:ascii="PingFang SC" w:hAnsi="PingFang SC" w:eastAsia="PingFang SC"/>
          <w:b w:val="0"/>
          <w:color w:val="404040"/>
          <w:sz w:val="20"/>
        </w:rPr>
        <w:t>；上线Grafana资源看板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404040"/>
          <w:sz w:val="20"/>
        </w:rPr>
        <w:t>▸ BMAAS裸金属自动化</w:t>
      </w:r>
    </w:p>
    <w:p>
      <w:pPr>
        <w:spacing w:after="60" w:line="312" w:lineRule="auto"/>
        <w:ind w:left="720"/>
      </w:pPr>
      <w:r>
        <w:rPr>
          <w:rFonts w:ascii="PingFang SC" w:hAnsi="PingFang SC" w:eastAsia="PingFang SC"/>
          <w:b/>
          <w:color w:val="FFFF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404040"/>
          <w:sz w:val="20"/>
        </w:rPr>
        <w:t>扩展Tinkerbell/HookOS：新增Rescue模式、redfish-batch-ISO工具</w:t>
      </w:r>
    </w:p>
    <w:p>
      <w:pPr>
        <w:spacing w:after="60" w:line="312" w:lineRule="auto"/>
        <w:ind w:left="720"/>
      </w:pPr>
      <w:r>
        <w:rPr>
          <w:rFonts w:ascii="PingFang SC" w:hAnsi="PingFang SC" w:eastAsia="PingFang SC"/>
          <w:b/>
          <w:color w:val="FFFF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404040"/>
          <w:sz w:val="20"/>
        </w:rPr>
        <w:t>cloud-init无人值守：主机名/MTU/磁盘自动配置；x86/ARM64/C86全架构交付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404040"/>
          <w:sz w:val="20"/>
        </w:rPr>
        <w:t>▸ 镜像工厂</w:t>
      </w:r>
    </w:p>
    <w:p>
      <w:pPr>
        <w:spacing w:after="60" w:line="312" w:lineRule="auto"/>
        <w:ind w:left="720"/>
      </w:pPr>
      <w:r>
        <w:rPr>
          <w:rFonts w:ascii="PingFang SC" w:hAnsi="PingFang SC" w:eastAsia="PingFang SC"/>
          <w:b/>
          <w:color w:val="FFFF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404040"/>
          <w:sz w:val="20"/>
        </w:rPr>
        <w:t>5类OS × 3架构全矩阵打包；集成Goss/Lynis/Trivy自动化测试</w:t>
      </w:r>
    </w:p>
    <w:p>
      <w:pPr>
        <w:spacing w:after="60" w:line="312" w:lineRule="auto"/>
        <w:ind w:left="720"/>
      </w:pPr>
      <w:r>
        <w:rPr>
          <w:rFonts w:ascii="PingFang SC" w:hAnsi="PingFang SC" w:eastAsia="PingFang SC"/>
          <w:b/>
          <w:color w:val="FFFF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404040"/>
          <w:sz w:val="20"/>
        </w:rPr>
        <w:t>国产化适配：龙蜥ARM（ZFS/DRBD HA联调）、UOS海光C86</w:t>
      </w:r>
    </w:p>
    <w:p>
      <w:pPr>
        <w:spacing w:after="60" w:line="312" w:lineRule="auto"/>
        <w:ind w:left="720"/>
      </w:pPr>
      <w:r>
        <w:rPr>
          <w:rFonts w:ascii="PingFang SC" w:hAnsi="PingFang SC" w:eastAsia="PingFang SC"/>
          <w:b/>
          <w:color w:val="FFFF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404040"/>
          <w:sz w:val="20"/>
        </w:rPr>
        <w:t>流水线零失败</w:t>
      </w:r>
      <w:r>
        <w:rPr>
          <w:rFonts w:ascii="PingFang SC" w:hAnsi="PingFang SC" w:eastAsia="PingFang SC"/>
          <w:b/>
          <w:color w:val="404040"/>
          <w:sz w:val="20"/>
        </w:rPr>
        <w:t>30天+</w:t>
      </w:r>
      <w:r>
        <w:rPr>
          <w:rFonts w:ascii="PingFang SC" w:hAnsi="PingFang SC" w:eastAsia="PingFang SC"/>
          <w:b w:val="0"/>
          <w:color w:val="404040"/>
          <w:sz w:val="20"/>
        </w:rPr>
        <w:t>，效率提升</w:t>
      </w:r>
      <w:r>
        <w:rPr>
          <w:rFonts w:ascii="PingFang SC" w:hAnsi="PingFang SC" w:eastAsia="PingFang SC"/>
          <w:b/>
          <w:color w:val="404040"/>
          <w:sz w:val="20"/>
        </w:rPr>
        <w:t>3.2倍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404040"/>
          <w:sz w:val="20"/>
        </w:rPr>
        <w:t>▸ JetDev工具链（专利软著成果）</w:t>
      </w:r>
    </w:p>
    <w:p>
      <w:pPr>
        <w:spacing w:after="60" w:line="312" w:lineRule="auto"/>
        <w:ind w:left="720"/>
      </w:pPr>
      <w:r>
        <w:rPr>
          <w:rFonts w:ascii="PingFang SC" w:hAnsi="PingFang SC" w:eastAsia="PingFang SC"/>
          <w:b/>
          <w:color w:val="FFFF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404040"/>
          <w:sz w:val="20"/>
        </w:rPr>
        <w:t>自研一站式DevOps工具箱：集成Ansible/Terraform/Packer/GitLab Runner</w:t>
      </w:r>
    </w:p>
    <w:p>
      <w:pPr>
        <w:spacing w:after="60" w:line="312" w:lineRule="auto"/>
        <w:ind w:left="720"/>
      </w:pPr>
      <w:r>
        <w:rPr>
          <w:rFonts w:ascii="PingFang SC" w:hAnsi="PingFang SC" w:eastAsia="PingFang SC"/>
          <w:b/>
          <w:color w:val="FFFF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404040"/>
          <w:sz w:val="20"/>
        </w:rPr>
        <w:t>Ansible Role脚手架生成时间缩短</w:t>
      </w:r>
      <w:r>
        <w:rPr>
          <w:rFonts w:ascii="PingFang SC" w:hAnsi="PingFang SC" w:eastAsia="PingFang SC"/>
          <w:b/>
          <w:color w:val="404040"/>
          <w:sz w:val="20"/>
        </w:rPr>
        <w:t>80%</w:t>
      </w:r>
    </w:p>
    <w:p>
      <w:pPr>
        <w:spacing w:after="60" w:line="312" w:lineRule="auto"/>
        <w:ind w:left="720"/>
      </w:pPr>
      <w:r>
        <w:rPr>
          <w:rFonts w:ascii="PingFang SC" w:hAnsi="PingFang SC" w:eastAsia="PingFang SC"/>
          <w:b/>
          <w:color w:val="FFFF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404040"/>
          <w:sz w:val="20"/>
        </w:rPr>
        <w:t>申请</w:t>
      </w:r>
      <w:r>
        <w:rPr>
          <w:rFonts w:ascii="PingFang SC" w:hAnsi="PingFang SC" w:eastAsia="PingFang SC"/>
          <w:b/>
          <w:color w:val="404040"/>
          <w:sz w:val="20"/>
        </w:rPr>
        <w:t>发明专利CN121635905A</w:t>
      </w:r>
      <w:r>
        <w:rPr>
          <w:rFonts w:ascii="PingFang SC" w:hAnsi="PingFang SC" w:eastAsia="PingFang SC"/>
          <w:b w:val="0"/>
          <w:color w:val="404040"/>
          <w:sz w:val="20"/>
        </w:rPr>
        <w:t>、</w:t>
      </w:r>
      <w:r>
        <w:rPr>
          <w:rFonts w:ascii="PingFang SC" w:hAnsi="PingFang SC" w:eastAsia="PingFang SC"/>
          <w:b/>
          <w:color w:val="404040"/>
          <w:sz w:val="20"/>
        </w:rPr>
        <w:t>软件著作2025SR2538156</w:t>
      </w:r>
    </w:p>
    <w:p>
      <w:pPr>
        <w:spacing w:after="60" w:line="312" w:lineRule="auto"/>
        <w:ind w:left="720"/>
      </w:pPr>
      <w:r>
        <w:rPr>
          <w:rFonts w:ascii="PingFang SC" w:hAnsi="PingFang SC" w:eastAsia="PingFang SC"/>
          <w:b/>
          <w:color w:val="FFFF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404040"/>
          <w:sz w:val="20"/>
        </w:rPr>
        <w:t>运维及测试团队已推广落地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404040"/>
          <w:sz w:val="28"/>
        </w:rPr>
        <w:t>Kyndryl深圳（IBM拆分）</w:t>
      </w:r>
      <w:r>
        <w:rPr>
          <w:rFonts w:ascii="PingFang SC" w:hAnsi="PingFang SC" w:eastAsia="PingFang SC"/>
          <w:b w:val="0"/>
          <w:color w:val="767D88"/>
          <w:sz w:val="20"/>
        </w:rPr>
        <w:t xml:space="preserve">    2021.09 – 2024.08 | 深圳</w:t>
      </w:r>
    </w:p>
    <w:p>
      <w:pPr>
        <w:spacing w:after="80"/>
      </w:pPr>
      <w:r>
        <w:rPr>
          <w:rFonts w:ascii="PingFang SC" w:hAnsi="PingFang SC" w:eastAsia="PingFang SC"/>
          <w:b/>
          <w:color w:val="FFFFFF"/>
          <w:sz w:val="22"/>
        </w:rPr>
        <w:t>SRE工程师（工具链方向） · 技术Leader</w:t>
      </w:r>
    </w:p>
    <w:p>
      <w:pPr>
        <w:spacing w:after="120"/>
      </w:pPr>
      <w:r>
        <w:rPr>
          <w:rFonts w:ascii="PingFang SC" w:hAnsi="PingFang SC" w:eastAsia="PingFang SC"/>
          <w:b w:val="0"/>
          <w:color w:val="767D88"/>
          <w:sz w:val="20"/>
        </w:rPr>
        <w:t>工作内容与IBM完全一致：维护 Software Defined Environment (SDE) 平台，推动传统运维向自动化运维转型；担任技术 Leader，负责方案探索、任务分配与跨区协作。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404040"/>
          <w:sz w:val="28"/>
        </w:rPr>
        <w:t>IBM深圳</w:t>
      </w:r>
      <w:r>
        <w:rPr>
          <w:rFonts w:ascii="PingFang SC" w:hAnsi="PingFang SC" w:eastAsia="PingFang SC"/>
          <w:b w:val="0"/>
          <w:color w:val="767D88"/>
          <w:sz w:val="20"/>
        </w:rPr>
        <w:t xml:space="preserve">    2017.03 – 2021.09 | 深圳</w:t>
      </w:r>
    </w:p>
    <w:p>
      <w:pPr>
        <w:spacing w:after="80"/>
      </w:pPr>
      <w:r>
        <w:rPr>
          <w:rFonts w:ascii="PingFang SC" w:hAnsi="PingFang SC" w:eastAsia="PingFang SC"/>
          <w:b/>
          <w:color w:val="FFFFFF"/>
          <w:sz w:val="22"/>
        </w:rPr>
        <w:t>SRE工程师（工具链方向） · 技术Leader</w:t>
      </w:r>
    </w:p>
    <w:p>
      <w:pPr>
        <w:spacing w:after="120"/>
      </w:pPr>
      <w:r>
        <w:rPr>
          <w:rFonts w:ascii="PingFang SC" w:hAnsi="PingFang SC" w:eastAsia="PingFang SC"/>
          <w:b w:val="0"/>
          <w:color w:val="767D88"/>
          <w:sz w:val="20"/>
        </w:rPr>
        <w:t>维护 Software Defined Environment (SDE) 平台，推动传统运维向自动化运维转型；担任技术 Leader，负责方案探索、任务分配与跨区协作。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404040"/>
          <w:sz w:val="20"/>
        </w:rPr>
        <w:t>▸ 自动化运维体系</w:t>
      </w:r>
    </w:p>
    <w:p>
      <w:pPr>
        <w:spacing w:after="60" w:line="312" w:lineRule="auto"/>
        <w:ind w:left="720"/>
      </w:pPr>
      <w:r>
        <w:rPr>
          <w:rFonts w:ascii="PingFang SC" w:hAnsi="PingFang SC" w:eastAsia="PingFang SC"/>
          <w:b/>
          <w:color w:val="FFFF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404040"/>
          <w:sz w:val="20"/>
        </w:rPr>
        <w:t>从"手工+脚本"转型为</w:t>
      </w:r>
      <w:r>
        <w:rPr>
          <w:rFonts w:ascii="PingFang SC" w:hAnsi="PingFang SC" w:eastAsia="PingFang SC"/>
          <w:b/>
          <w:color w:val="404040"/>
          <w:sz w:val="20"/>
        </w:rPr>
        <w:t>"本地开发 + 自动化构建测试 + 一键部署回滚"</w:t>
      </w:r>
    </w:p>
    <w:p>
      <w:pPr>
        <w:spacing w:after="60" w:line="312" w:lineRule="auto"/>
        <w:ind w:left="720"/>
      </w:pPr>
      <w:r>
        <w:rPr>
          <w:rFonts w:ascii="PingFang SC" w:hAnsi="PingFang SC" w:eastAsia="PingFang SC"/>
          <w:b/>
          <w:color w:val="FFFF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404040"/>
          <w:sz w:val="20"/>
        </w:rPr>
        <w:t>团队运维效率</w:t>
      </w:r>
      <w:r>
        <w:rPr>
          <w:rFonts w:ascii="PingFang SC" w:hAnsi="PingFang SC" w:eastAsia="PingFang SC"/>
          <w:b/>
          <w:color w:val="404040"/>
          <w:sz w:val="20"/>
        </w:rPr>
        <w:t>+50%</w:t>
      </w:r>
      <w:r>
        <w:rPr>
          <w:rFonts w:ascii="PingFang SC" w:hAnsi="PingFang SC" w:eastAsia="PingFang SC"/>
          <w:b w:val="0"/>
          <w:color w:val="404040"/>
          <w:sz w:val="20"/>
        </w:rPr>
        <w:t>，质量</w:t>
      </w:r>
      <w:r>
        <w:rPr>
          <w:rFonts w:ascii="PingFang SC" w:hAnsi="PingFang SC" w:eastAsia="PingFang SC"/>
          <w:b/>
          <w:color w:val="404040"/>
          <w:sz w:val="20"/>
        </w:rPr>
        <w:t>+90%</w:t>
      </w:r>
      <w:r>
        <w:rPr>
          <w:rFonts w:ascii="PingFang SC" w:hAnsi="PingFang SC" w:eastAsia="PingFang SC"/>
          <w:b w:val="0"/>
          <w:color w:val="404040"/>
          <w:sz w:val="20"/>
        </w:rPr>
        <w:t>，人为失误几乎归零</w:t>
      </w:r>
    </w:p>
    <w:p>
      <w:pPr>
        <w:spacing w:after="60" w:line="312" w:lineRule="auto"/>
        <w:ind w:left="720"/>
      </w:pPr>
      <w:r>
        <w:rPr>
          <w:rFonts w:ascii="PingFang SC" w:hAnsi="PingFang SC" w:eastAsia="PingFang SC"/>
          <w:b/>
          <w:color w:val="FFFF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404040"/>
          <w:sz w:val="20"/>
        </w:rPr>
        <w:t>客户应用部署时间</w:t>
      </w:r>
      <w:r>
        <w:rPr>
          <w:rFonts w:ascii="PingFang SC" w:hAnsi="PingFang SC" w:eastAsia="PingFang SC"/>
          <w:b/>
          <w:color w:val="404040"/>
          <w:sz w:val="20"/>
        </w:rPr>
        <w:t>-80%</w:t>
      </w:r>
      <w:r>
        <w:rPr>
          <w:rFonts w:ascii="PingFang SC" w:hAnsi="PingFang SC" w:eastAsia="PingFang SC"/>
          <w:b w:val="0"/>
          <w:color w:val="404040"/>
          <w:sz w:val="20"/>
        </w:rPr>
        <w:t>，变更请求处理时间</w:t>
      </w:r>
      <w:r>
        <w:rPr>
          <w:rFonts w:ascii="PingFang SC" w:hAnsi="PingFang SC" w:eastAsia="PingFang SC"/>
          <w:b/>
          <w:color w:val="404040"/>
          <w:sz w:val="20"/>
        </w:rPr>
        <w:t>-50%</w:t>
      </w:r>
    </w:p>
    <w:p>
      <w:pPr>
        <w:spacing w:after="60" w:line="312" w:lineRule="auto"/>
        <w:ind w:left="720"/>
      </w:pPr>
      <w:r>
        <w:rPr>
          <w:rFonts w:ascii="PingFang SC" w:hAnsi="PingFang SC" w:eastAsia="PingFang SC"/>
          <w:b/>
          <w:color w:val="FFFF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404040"/>
          <w:sz w:val="20"/>
        </w:rPr>
        <w:t>管理Chef/GitLab/Jenkins/Ansible Tower/UCD全链路DevOps工具链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404040"/>
          <w:sz w:val="20"/>
        </w:rPr>
        <w:t>▸ AWS架构咨询 · 云上方案设计</w:t>
      </w:r>
    </w:p>
    <w:p>
      <w:pPr>
        <w:spacing w:after="60" w:line="312" w:lineRule="auto"/>
        <w:ind w:left="720"/>
      </w:pPr>
      <w:r>
        <w:rPr>
          <w:rFonts w:ascii="PingFang SC" w:hAnsi="PingFang SC" w:eastAsia="PingFang SC"/>
          <w:b/>
          <w:color w:val="FFFF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404040"/>
          <w:sz w:val="20"/>
        </w:rPr>
        <w:t>为北美客户设计全球化架构：</w:t>
      </w:r>
      <w:r>
        <w:rPr>
          <w:rFonts w:ascii="PingFang SC" w:hAnsi="PingFang SC" w:eastAsia="PingFang SC"/>
          <w:b/>
          <w:color w:val="404040"/>
          <w:sz w:val="20"/>
        </w:rPr>
        <w:t>ECS → EKS</w:t>
      </w:r>
      <w:r>
        <w:rPr>
          <w:rFonts w:ascii="PingFang SC" w:hAnsi="PingFang SC" w:eastAsia="PingFang SC"/>
          <w:b w:val="0"/>
          <w:color w:val="404040"/>
          <w:sz w:val="20"/>
        </w:rPr>
        <w:t>集群化改造，Global Accelerator分流加速</w:t>
      </w:r>
    </w:p>
    <w:p>
      <w:pPr>
        <w:spacing w:after="60" w:line="312" w:lineRule="auto"/>
        <w:ind w:left="720"/>
      </w:pPr>
      <w:r>
        <w:rPr>
          <w:rFonts w:ascii="PingFang SC" w:hAnsi="PingFang SC" w:eastAsia="PingFang SC"/>
          <w:b/>
          <w:color w:val="FFFF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404040"/>
          <w:sz w:val="20"/>
        </w:rPr>
        <w:t>分离存储与数据库、流量峰值前横向扩展，解决跨区访问慢与成本高的问题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404040"/>
          <w:sz w:val="20"/>
        </w:rPr>
        <w:t>▸ 团队与成就</w:t>
      </w:r>
    </w:p>
    <w:p>
      <w:pPr>
        <w:spacing w:after="60" w:line="312" w:lineRule="auto"/>
        <w:ind w:left="720"/>
      </w:pPr>
      <w:r>
        <w:rPr>
          <w:rFonts w:ascii="PingFang SC" w:hAnsi="PingFang SC" w:eastAsia="PingFang SC"/>
          <w:b/>
          <w:color w:val="FFFF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404040"/>
          <w:sz w:val="20"/>
        </w:rPr>
        <w:t>连续</w:t>
      </w:r>
      <w:r>
        <w:rPr>
          <w:rFonts w:ascii="PingFang SC" w:hAnsi="PingFang SC" w:eastAsia="PingFang SC"/>
          <w:b/>
          <w:color w:val="404040"/>
          <w:sz w:val="20"/>
        </w:rPr>
        <w:t>6年</w:t>
      </w:r>
      <w:r>
        <w:rPr>
          <w:rFonts w:ascii="PingFang SC" w:hAnsi="PingFang SC" w:eastAsia="PingFang SC"/>
          <w:b w:val="0"/>
          <w:color w:val="404040"/>
          <w:sz w:val="20"/>
        </w:rPr>
        <w:t>年度考核"Exceed Expectation"（超出预期）</w:t>
      </w:r>
    </w:p>
    <w:p>
      <w:pPr>
        <w:spacing w:after="60" w:line="312" w:lineRule="auto"/>
        <w:ind w:left="720"/>
      </w:pPr>
      <w:r>
        <w:rPr>
          <w:rFonts w:ascii="PingFang SC" w:hAnsi="PingFang SC" w:eastAsia="PingFang SC"/>
          <w:b/>
          <w:color w:val="FFFF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404040"/>
          <w:sz w:val="20"/>
        </w:rPr>
        <w:t>管理</w:t>
      </w:r>
      <w:r>
        <w:rPr>
          <w:rFonts w:ascii="PingFang SC" w:hAnsi="PingFang SC" w:eastAsia="PingFang SC"/>
          <w:b/>
          <w:color w:val="404040"/>
          <w:sz w:val="20"/>
        </w:rPr>
        <w:t>4-10人</w:t>
      </w:r>
      <w:r>
        <w:rPr>
          <w:rFonts w:ascii="PingFang SC" w:hAnsi="PingFang SC" w:eastAsia="PingFang SC"/>
          <w:b w:val="0"/>
          <w:color w:val="404040"/>
          <w:sz w:val="20"/>
        </w:rPr>
        <w:t>跨文化团队（中/印），主导技术面试与能力建设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404040"/>
          <w:sz w:val="28"/>
        </w:rPr>
        <w:t>天津恩恩科技有限公司</w:t>
      </w:r>
      <w:r>
        <w:rPr>
          <w:rFonts w:ascii="PingFang SC" w:hAnsi="PingFang SC" w:eastAsia="PingFang SC"/>
          <w:b w:val="0"/>
          <w:color w:val="767D88"/>
          <w:sz w:val="20"/>
        </w:rPr>
        <w:t xml:space="preserve">    2016.05 – 2017.03 | 天津</w:t>
      </w:r>
    </w:p>
    <w:p>
      <w:pPr>
        <w:spacing w:after="80"/>
      </w:pPr>
      <w:r>
        <w:rPr>
          <w:rFonts w:ascii="PingFang SC" w:hAnsi="PingFang SC" w:eastAsia="PingFang SC"/>
          <w:b/>
          <w:color w:val="FFFFFF"/>
          <w:sz w:val="22"/>
        </w:rPr>
        <w:t>变更服务交付经理（ITIL / GxP 合规方向）</w:t>
      </w:r>
    </w:p>
    <w:p>
      <w:pPr>
        <w:spacing w:after="120"/>
      </w:pPr>
    </w:p>
    <w:p>
      <w:pPr>
        <w:spacing w:before="80" w:after="40"/>
      </w:pPr>
      <w:r>
        <w:rPr>
          <w:rFonts w:ascii="PingFang SC" w:hAnsi="PingFang SC" w:eastAsia="PingFang SC"/>
          <w:b/>
          <w:color w:val="404040"/>
          <w:sz w:val="20"/>
        </w:rPr>
        <w:t>▸ 变更管理</w:t>
      </w:r>
    </w:p>
    <w:p>
      <w:pPr>
        <w:spacing w:after="60" w:line="312" w:lineRule="auto"/>
        <w:ind w:left="720"/>
      </w:pPr>
      <w:r>
        <w:rPr>
          <w:rFonts w:ascii="PingFang SC" w:hAnsi="PingFang SC" w:eastAsia="PingFang SC"/>
          <w:b/>
          <w:color w:val="FFFF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404040"/>
          <w:sz w:val="20"/>
        </w:rPr>
        <w:t>审核 RFC 变更请求：业务需求、风险评估、执行计划、回滚计划全流程把关</w:t>
      </w:r>
    </w:p>
    <w:p>
      <w:pPr>
        <w:spacing w:after="60" w:line="312" w:lineRule="auto"/>
        <w:ind w:left="720"/>
      </w:pPr>
      <w:r>
        <w:rPr>
          <w:rFonts w:ascii="PingFang SC" w:hAnsi="PingFang SC" w:eastAsia="PingFang SC"/>
          <w:b/>
          <w:color w:val="FFFFFF"/>
          <w:sz w:val="20"/>
        </w:rPr>
        <w:t xml:space="preserve">•  </w:t>
      </w:r>
      <w:r>
        <w:rPr>
          <w:rFonts w:ascii="PingFang SC" w:hAnsi="PingFang SC" w:eastAsia="PingFang SC"/>
          <w:b/>
          <w:color w:val="404040"/>
          <w:sz w:val="20"/>
        </w:rPr>
        <w:t>GxP（良好实验室规范）</w:t>
      </w:r>
      <w:r>
        <w:rPr>
          <w:rFonts w:ascii="PingFang SC" w:hAnsi="PingFang SC" w:eastAsia="PingFang SC"/>
          <w:b w:val="0"/>
          <w:color w:val="404040"/>
          <w:sz w:val="20"/>
        </w:rPr>
        <w:t>合规变更文档审查，确保完整性与合规签署</w:t>
      </w:r>
    </w:p>
    <w:p>
      <w:pPr>
        <w:spacing w:after="60" w:line="312" w:lineRule="auto"/>
        <w:ind w:left="720"/>
      </w:pPr>
      <w:r>
        <w:rPr>
          <w:rFonts w:ascii="PingFang SC" w:hAnsi="PingFang SC" w:eastAsia="PingFang SC"/>
          <w:b/>
          <w:color w:val="FFFF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404040"/>
          <w:sz w:val="20"/>
        </w:rPr>
        <w:t>Excel模板+自动化脚本重构变更管理流程，工作量减少</w:t>
      </w:r>
      <w:r>
        <w:rPr>
          <w:rFonts w:ascii="PingFang SC" w:hAnsi="PingFang SC" w:eastAsia="PingFang SC"/>
          <w:b/>
          <w:color w:val="404040"/>
          <w:sz w:val="20"/>
        </w:rPr>
        <w:t>80%</w:t>
      </w:r>
    </w:p>
    <w:p>
      <w:pPr>
        <w:spacing w:after="60" w:line="312" w:lineRule="auto"/>
        <w:ind w:left="720"/>
      </w:pPr>
      <w:r>
        <w:rPr>
          <w:rFonts w:ascii="PingFang SC" w:hAnsi="PingFang SC" w:eastAsia="PingFang SC"/>
          <w:b/>
          <w:color w:val="FFFF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404040"/>
          <w:sz w:val="20"/>
        </w:rPr>
        <w:t>自研月度生产力报表自动化脚本，显著提升管理效率与 PIR 质量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404040"/>
          <w:sz w:val="28"/>
        </w:rPr>
        <w:t>DXC Technology（原 CSC）</w:t>
      </w:r>
      <w:r>
        <w:rPr>
          <w:rFonts w:ascii="PingFang SC" w:hAnsi="PingFang SC" w:eastAsia="PingFang SC"/>
          <w:b w:val="0"/>
          <w:color w:val="767D88"/>
          <w:sz w:val="20"/>
        </w:rPr>
        <w:t xml:space="preserve">    2012.06 – 2016.05 | 天津</w:t>
      </w:r>
    </w:p>
    <w:p>
      <w:pPr>
        <w:spacing w:after="80"/>
      </w:pPr>
      <w:r>
        <w:rPr>
          <w:rFonts w:ascii="PingFang SC" w:hAnsi="PingFang SC" w:eastAsia="PingFang SC"/>
          <w:b/>
          <w:color w:val="FFFFFF"/>
          <w:sz w:val="22"/>
        </w:rPr>
        <w:t>WebHosting团队队长 / 运维工程师</w:t>
      </w:r>
    </w:p>
    <w:p>
      <w:pPr>
        <w:spacing w:after="120"/>
      </w:pPr>
      <w:r>
        <w:rPr>
          <w:rFonts w:ascii="PingFang SC" w:hAnsi="PingFang SC" w:eastAsia="PingFang SC"/>
          <w:b w:val="0"/>
          <w:color w:val="767D88"/>
          <w:sz w:val="20"/>
        </w:rPr>
        <w:t xml:space="preserve">为 </w:t>
      </w:r>
      <w:r>
        <w:rPr>
          <w:rFonts w:ascii="PingFang SC" w:hAnsi="PingFang SC" w:eastAsia="PingFang SC"/>
          <w:b/>
          <w:color w:val="767D88"/>
          <w:sz w:val="20"/>
        </w:rPr>
        <w:t>AIA 友邦保险</w:t>
      </w:r>
      <w:r>
        <w:rPr>
          <w:rFonts w:ascii="PingFang SC" w:hAnsi="PingFang SC" w:eastAsia="PingFang SC"/>
          <w:b w:val="0"/>
          <w:color w:val="767D88"/>
          <w:sz w:val="20"/>
        </w:rPr>
        <w:t>亚洲多地客户提供中间件与 JavaEE 企业级应用的全方位运维服务。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404040"/>
          <w:sz w:val="20"/>
        </w:rPr>
        <w:t>▸ 团队领导与自动化</w:t>
      </w:r>
    </w:p>
    <w:p>
      <w:pPr>
        <w:spacing w:after="60" w:line="312" w:lineRule="auto"/>
        <w:ind w:left="720"/>
      </w:pPr>
      <w:r>
        <w:rPr>
          <w:rFonts w:ascii="PingFang SC" w:hAnsi="PingFang SC" w:eastAsia="PingFang SC"/>
          <w:b/>
          <w:color w:val="FFFF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404040"/>
          <w:sz w:val="20"/>
        </w:rPr>
        <w:t>带领</w:t>
      </w:r>
      <w:r>
        <w:rPr>
          <w:rFonts w:ascii="PingFang SC" w:hAnsi="PingFang SC" w:eastAsia="PingFang SC"/>
          <w:b/>
          <w:color w:val="404040"/>
          <w:sz w:val="20"/>
        </w:rPr>
        <w:t>4人国际团队</w:t>
      </w:r>
      <w:r>
        <w:rPr>
          <w:rFonts w:ascii="PingFang SC" w:hAnsi="PingFang SC" w:eastAsia="PingFang SC"/>
          <w:b w:val="0"/>
          <w:color w:val="404040"/>
          <w:sz w:val="20"/>
        </w:rPr>
        <w:t>（中/印，2014.09 升任队长），自动化程度从</w:t>
      </w:r>
      <w:r>
        <w:rPr>
          <w:rFonts w:ascii="PingFang SC" w:hAnsi="PingFang SC" w:eastAsia="PingFang SC"/>
          <w:b/>
          <w:color w:val="404040"/>
          <w:sz w:val="20"/>
        </w:rPr>
        <w:t>10% → 50%</w:t>
      </w:r>
    </w:p>
    <w:p>
      <w:pPr>
        <w:spacing w:after="60" w:line="312" w:lineRule="auto"/>
        <w:ind w:left="720"/>
      </w:pPr>
      <w:r>
        <w:rPr>
          <w:rFonts w:ascii="PingFang SC" w:hAnsi="PingFang SC" w:eastAsia="PingFang SC"/>
          <w:b/>
          <w:color w:val="FFFF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404040"/>
          <w:sz w:val="20"/>
        </w:rPr>
        <w:t>培养印度 Offshore 团队成员，打造高绩效服务平台，获客户表彰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404040"/>
          <w:sz w:val="20"/>
        </w:rPr>
        <w:t>▸ 关键项目</w:t>
      </w:r>
    </w:p>
    <w:p>
      <w:pPr>
        <w:spacing w:after="60" w:line="312" w:lineRule="auto"/>
        <w:ind w:left="720"/>
      </w:pPr>
      <w:r>
        <w:rPr>
          <w:rFonts w:ascii="PingFang SC" w:hAnsi="PingFang SC" w:eastAsia="PingFang SC"/>
          <w:b/>
          <w:color w:val="FFFF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404040"/>
          <w:sz w:val="20"/>
        </w:rPr>
        <w:t>主导多站点</w:t>
      </w:r>
      <w:r>
        <w:rPr>
          <w:rFonts w:ascii="PingFang SC" w:hAnsi="PingFang SC" w:eastAsia="PingFang SC"/>
          <w:b/>
          <w:color w:val="404040"/>
          <w:sz w:val="20"/>
        </w:rPr>
        <w:t>数据中心迁移</w:t>
      </w:r>
      <w:r>
        <w:rPr>
          <w:rFonts w:ascii="PingFang SC" w:hAnsi="PingFang SC" w:eastAsia="PingFang SC"/>
          <w:b w:val="0"/>
          <w:color w:val="404040"/>
          <w:sz w:val="20"/>
        </w:rPr>
        <w:t>、网站分割、新系统建立</w:t>
      </w:r>
    </w:p>
    <w:p>
      <w:pPr>
        <w:spacing w:after="60" w:line="312" w:lineRule="auto"/>
        <w:ind w:left="720"/>
      </w:pPr>
      <w:r>
        <w:rPr>
          <w:rFonts w:ascii="PingFang SC" w:hAnsi="PingFang SC" w:eastAsia="PingFang SC"/>
          <w:b/>
          <w:color w:val="FFFF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404040"/>
          <w:sz w:val="20"/>
        </w:rPr>
        <w:t xml:space="preserve">主导 </w:t>
      </w:r>
      <w:r>
        <w:rPr>
          <w:rFonts w:ascii="PingFang SC" w:hAnsi="PingFang SC" w:eastAsia="PingFang SC"/>
          <w:b/>
          <w:color w:val="404040"/>
          <w:sz w:val="20"/>
        </w:rPr>
        <w:t>IBM WAS 6 → WAS 8</w:t>
      </w:r>
      <w:r>
        <w:rPr>
          <w:rFonts w:ascii="PingFang SC" w:hAnsi="PingFang SC" w:eastAsia="PingFang SC"/>
          <w:b w:val="0"/>
          <w:color w:val="404040"/>
          <w:sz w:val="20"/>
        </w:rPr>
        <w:t xml:space="preserve"> 中间件跨版本升级迁移</w:t>
      </w:r>
    </w:p>
    <w:p>
      <w:pPr>
        <w:spacing w:after="60" w:line="312" w:lineRule="auto"/>
        <w:ind w:left="720"/>
      </w:pPr>
      <w:r>
        <w:rPr>
          <w:rFonts w:ascii="PingFang SC" w:hAnsi="PingFang SC" w:eastAsia="PingFang SC"/>
          <w:b/>
          <w:color w:val="FFFF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404040"/>
          <w:sz w:val="20"/>
        </w:rPr>
        <w:t>SSL 证书管理、灾备测试、Zabbix 监控体系维护</w:t>
      </w:r>
    </w:p>
    <w:p>
      <w:pPr>
        <w:spacing w:after="60" w:line="312" w:lineRule="auto"/>
        <w:ind w:left="720"/>
      </w:pPr>
      <w:r>
        <w:rPr>
          <w:rFonts w:ascii="PingFang SC" w:hAnsi="PingFang SC" w:eastAsia="PingFang SC"/>
          <w:b/>
          <w:color w:val="FFFF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404040"/>
          <w:sz w:val="20"/>
        </w:rPr>
        <w:t>开发自动化运维脚本，团队效率</w:t>
      </w:r>
      <w:r>
        <w:rPr>
          <w:rFonts w:ascii="PingFang SC" w:hAnsi="PingFang SC" w:eastAsia="PingFang SC"/>
          <w:b/>
          <w:color w:val="404040"/>
          <w:sz w:val="20"/>
        </w:rPr>
        <w:t>+20%</w:t>
      </w:r>
    </w:p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 w:val="0"/>
          <w:color w:val="404040"/>
          <w:sz w:val="40"/>
        </w:rPr>
        <w:t>认证证书</w:t>
      </w:r>
    </w:p>
    <w:p>
      <w:pPr>
        <w:spacing w:after="80"/>
      </w:pPr>
      <w:r>
        <w:rPr>
          <w:rFonts w:ascii="PingFang SC" w:hAnsi="PingFang SC" w:eastAsia="PingFang SC"/>
          <w:b w:val="0"/>
          <w:color w:val="404040"/>
          <w:sz w:val="20"/>
        </w:rPr>
        <w:t>AWS SAA</w:t>
      </w:r>
      <w:r>
        <w:rPr>
          <w:rFonts w:ascii="PingFang SC" w:hAnsi="PingFang SC" w:eastAsia="PingFang SC"/>
          <w:b w:val="0"/>
          <w:color w:val="767D88"/>
          <w:sz w:val="18"/>
        </w:rPr>
        <w:t xml:space="preserve"> (2022.11)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404040"/>
          <w:sz w:val="20"/>
        </w:rPr>
        <w:t>CKA</w:t>
      </w:r>
      <w:r>
        <w:rPr>
          <w:rFonts w:ascii="PingFang SC" w:hAnsi="PingFang SC" w:eastAsia="PingFang SC"/>
          <w:b w:val="0"/>
          <w:color w:val="767D88"/>
          <w:sz w:val="18"/>
        </w:rPr>
        <w:t xml:space="preserve"> (2021.08)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404040"/>
          <w:sz w:val="20"/>
        </w:rPr>
        <w:t>RHCE</w:t>
      </w:r>
      <w:r>
        <w:rPr>
          <w:rFonts w:ascii="PingFang SC" w:hAnsi="PingFang SC" w:eastAsia="PingFang SC"/>
          <w:b w:val="0"/>
          <w:color w:val="767D88"/>
          <w:sz w:val="18"/>
        </w:rPr>
        <w:t xml:space="preserve"> (2022.06)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404040"/>
          <w:sz w:val="20"/>
        </w:rPr>
        <w:t>Azure Admin</w:t>
      </w:r>
      <w:r>
        <w:rPr>
          <w:rFonts w:ascii="PingFang SC" w:hAnsi="PingFang SC" w:eastAsia="PingFang SC"/>
          <w:b w:val="0"/>
          <w:color w:val="767D88"/>
          <w:sz w:val="18"/>
        </w:rPr>
        <w:t xml:space="preserve"> (2022.04)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404040"/>
          <w:sz w:val="20"/>
        </w:rPr>
        <w:t>阿里云ACP</w:t>
      </w:r>
      <w:r>
        <w:rPr>
          <w:rFonts w:ascii="PingFang SC" w:hAnsi="PingFang SC" w:eastAsia="PingFang SC"/>
          <w:b w:val="0"/>
          <w:color w:val="767D88"/>
          <w:sz w:val="18"/>
        </w:rPr>
        <w:t xml:space="preserve"> (2021.07)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404040"/>
          <w:sz w:val="20"/>
        </w:rPr>
        <w:t>PMP</w:t>
      </w:r>
      <w:r>
        <w:rPr>
          <w:rFonts w:ascii="PingFang SC" w:hAnsi="PingFang SC" w:eastAsia="PingFang SC"/>
          <w:b w:val="0"/>
          <w:color w:val="767D88"/>
          <w:sz w:val="18"/>
        </w:rPr>
        <w:t xml:space="preserve"> (2017.11)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404040"/>
          <w:sz w:val="20"/>
        </w:rPr>
        <w:t>ITIL® Foundation</w:t>
      </w:r>
      <w:r>
        <w:rPr>
          <w:rFonts w:ascii="PingFang SC" w:hAnsi="PingFang SC" w:eastAsia="PingFang SC"/>
          <w:b w:val="0"/>
          <w:color w:val="767D88"/>
          <w:sz w:val="18"/>
        </w:rPr>
        <w:t xml:space="preserve"> (2017.02)</w:t>
      </w:r>
    </w:p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 w:val="0"/>
          <w:color w:val="404040"/>
          <w:sz w:val="40"/>
        </w:rPr>
        <w:t>教育背景</w:t>
      </w:r>
    </w:p>
    <w:p>
      <w:pPr>
        <w:spacing w:after="80"/>
      </w:pPr>
      <w:r>
        <w:rPr>
          <w:rFonts w:ascii="PingFang SC" w:hAnsi="PingFang SC" w:eastAsia="PingFang SC"/>
          <w:b w:val="0"/>
          <w:color w:val="404040"/>
          <w:sz w:val="28"/>
        </w:rPr>
        <w:t>天津工业大学</w:t>
      </w:r>
      <w:r>
        <w:rPr>
          <w:rFonts w:ascii="PingFang SC" w:hAnsi="PingFang SC" w:eastAsia="PingFang SC"/>
          <w:b/>
          <w:color w:val="FFFFFF"/>
          <w:sz w:val="20"/>
        </w:rPr>
        <w:t xml:space="preserve">  【双一流】</w:t>
      </w:r>
      <w:r>
        <w:rPr>
          <w:rFonts w:ascii="PingFang SC" w:hAnsi="PingFang SC" w:eastAsia="PingFang SC"/>
          <w:b w:val="0"/>
          <w:color w:val="767D88"/>
          <w:sz w:val="20"/>
        </w:rPr>
        <w:t xml:space="preserve">    2008 – 2012</w:t>
      </w:r>
    </w:p>
    <w:p>
      <w:pPr>
        <w:spacing w:before="0" w:after="0" w:line="324" w:lineRule="auto"/>
        <w:jc w:val="left"/>
      </w:pPr>
      <w:r>
        <w:rPr>
          <w:rFonts w:ascii="PingFang SC" w:hAnsi="PingFang SC" w:eastAsia="PingFang SC"/>
          <w:b w:val="0"/>
          <w:color w:val="404040"/>
          <w:sz w:val="22"/>
        </w:rPr>
        <w:t>软件工程本科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