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494"/>
        <w:gridCol w:w="7597"/>
      </w:tblGrid>
      <w:tr>
        <w:tc>
          <w:tcPr>
            <w:tcW w:type="dxa" w:w="2494"/>
            <w:vAlign w:val="center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440000" cy="1364391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vatar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364391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819"/>
            <w:vAlign w:val="center"/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FFFFFF"/>
                <w:sz w:val="64"/>
              </w:rPr>
              <w:t>Deli Qiao</w:t>
            </w:r>
          </w:p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1ED760"/>
                <w:sz w:val="28"/>
              </w:rPr>
              <w:t>DevOps / Platform Engineer</w:t>
            </w:r>
          </w:p>
          <w:p>
            <w:pPr>
              <w:spacing w:after="120"/>
            </w:pPr>
            <w:r>
              <w:rPr>
                <w:rFonts w:ascii="Helvetica Neue" w:hAnsi="Helvetica Neue" w:eastAsia="Helvetica Neue"/>
                <w:b w:val="0"/>
                <w:color w:val="B3B3B3"/>
                <w:sz w:val="22"/>
              </w:rPr>
              <w:t>14 Years Infrastructure Automation · Multi-Cloud Platform Engineering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>Shenzhen, China   ·   +86 15522013699   ·   qiaodeli111@126.com   ·   github.com/qiaodeli111</w:t>
            </w:r>
          </w:p>
        </w:tc>
      </w:tr>
    </w:tbl>
    <w:p>
      <w:pPr>
        <w:spacing w:before="160" w:after="160" w:line="324" w:lineRule="auto"/>
        <w:jc w:val="left"/>
        <w:pBdr>
          <w:bottom w:val="single" w:sz="4" w:space="4" w:color="4d4d4d"/>
        </w:pBdr>
      </w:pPr>
    </w:p>
    <w:p>
      <w:pPr>
        <w:spacing w:before="320" w:after="120" w:line="324" w:lineRule="auto"/>
        <w:jc w:val="left"/>
      </w:pPr>
      <w:r>
        <w:rPr>
          <w:rFonts w:ascii="Helvetica Neue" w:hAnsi="Helvetica Neue" w:eastAsia="Helvetica Neue"/>
          <w:b/>
          <w:color w:val="FFFFFF"/>
          <w:sz w:val="40"/>
        </w:rPr>
        <w:t>Core Strengths</w:t>
      </w:r>
    </w:p>
    <w:p>
      <w:pPr>
        <w:spacing w:before="0" w:after="200" w:line="324" w:lineRule="auto"/>
        <w:jc w:val="center"/>
      </w:pPr>
      <w:r>
        <w:rPr>
          <w:rFonts w:ascii="Helvetica Neue" w:hAnsi="Helvetica Neue" w:eastAsia="Helvetica Neue"/>
          <w:b/>
          <w:color w:val="1ED760"/>
          <w:sz w:val="24"/>
        </w:rPr>
        <w:t>14 Years DevOps/SRE | IaC System Architecture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shd w:val="clear" w:color="auto" w:fill="181818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FFFFFF"/>
                <w:sz w:val="24"/>
              </w:rPr>
              <w:t>Full-Stack Automation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>Built full-stack infrastructure automation from scratch covering bare-metal (BMAAS), private cloud, and multi-cloud environments</w:t>
            </w:r>
          </w:p>
        </w:tc>
        <w:tc>
          <w:tcPr>
            <w:tcW w:type="dxa" w:w="4819"/>
            <w:shd w:val="clear" w:color="auto" w:fill="181818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FFFFFF"/>
                <w:sz w:val="24"/>
              </w:rPr>
              <w:t>Patents &amp; Software Copyrights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 xml:space="preserve">Developed one-stop DevOps toolbox with </w:t>
            </w:r>
            <w:r>
              <w:rPr>
                <w:rFonts w:ascii="Helvetica Neue" w:hAnsi="Helvetica Neue" w:eastAsia="Helvetica Neue"/>
                <w:b/>
                <w:color w:val="FFFFFF"/>
                <w:sz w:val="20"/>
              </w:rPr>
              <w:t>Invention Patent</w:t>
            </w: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 xml:space="preserve"> (CN121635905A) and </w:t>
            </w:r>
            <w:r>
              <w:rPr>
                <w:rFonts w:ascii="Helvetica Neue" w:hAnsi="Helvetica Neue" w:eastAsia="Helvetica Neue"/>
                <w:b/>
                <w:color w:val="FFFFFF"/>
                <w:sz w:val="20"/>
              </w:rPr>
              <w:t>Software Copyright</w:t>
            </w: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 xml:space="preserve"> (2025SR2538156)</w:t>
            </w:r>
          </w:p>
        </w:tc>
      </w:tr>
      <w:tr>
        <w:tc>
          <w:tcPr>
            <w:tcW w:type="dxa" w:w="4819"/>
            <w:shd w:val="clear" w:color="auto" w:fill="181818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FFFFFF"/>
                <w:sz w:val="24"/>
              </w:rPr>
              <w:t>Localization Engineering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>Completed full-chain localization for Anolis OS/UOS/OpenEuler, supporting x86/ARM64/C86 triple-architecture delivery</w:t>
            </w:r>
          </w:p>
        </w:tc>
        <w:tc>
          <w:tcPr>
            <w:tcW w:type="dxa" w:w="4819"/>
            <w:shd w:val="clear" w:color="auto" w:fill="181818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FFFFFF"/>
                <w:sz w:val="24"/>
              </w:rPr>
              <w:t>Professional Certifications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 xml:space="preserve">Certifications: </w:t>
            </w:r>
            <w:r>
              <w:rPr>
                <w:rFonts w:ascii="Helvetica Neue" w:hAnsi="Helvetica Neue" w:eastAsia="Helvetica Neue"/>
                <w:b/>
                <w:color w:val="FFFFFF"/>
                <w:sz w:val="20"/>
              </w:rPr>
              <w:t>AWS SAA · CKA · RHCE · Azure Admin · PMP</w:t>
            </w:r>
          </w:p>
        </w:tc>
      </w:tr>
    </w:tbl>
    <w:p>
      <w:pPr>
        <w:spacing w:before="320" w:after="120" w:line="324" w:lineRule="auto"/>
        <w:jc w:val="left"/>
      </w:pPr>
      <w:r>
        <w:rPr>
          <w:rFonts w:ascii="Helvetica Neue" w:hAnsi="Helvetica Neue" w:eastAsia="Helvetica Neue"/>
          <w:b/>
          <w:color w:val="FFFFFF"/>
          <w:sz w:val="40"/>
        </w:rPr>
        <w:t>Key Achievements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685"/>
        <w:gridCol w:w="5953"/>
      </w:tblGrid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FFFFF"/>
                <w:sz w:val="22"/>
              </w:rPr>
              <w:t>ZFS Storage Performance Tuning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ED760"/>
                <w:sz w:val="22"/>
              </w:rPr>
              <w:t>IOPS 230k → 800k (3.5× improvement)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FFFFF"/>
                <w:sz w:val="22"/>
              </w:rPr>
              <w:t>Image Factory Pipeline Efficiency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ED760"/>
                <w:sz w:val="22"/>
              </w:rPr>
              <w:t>Zero failures 30+ days, 3.2× efficiency gain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FFFFF"/>
                <w:sz w:val="22"/>
              </w:rPr>
              <w:t>Private Cloud Platform Delivery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ED760"/>
                <w:sz w:val="22"/>
              </w:rPr>
              <w:t>Bottom-up HA architecture, 5+ customer sites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FFFFF"/>
                <w:sz w:val="22"/>
              </w:rPr>
              <w:t>Parallel Project Coordination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ED760"/>
                <w:sz w:val="22"/>
              </w:rPr>
              <w:t>7 projects running simultaneously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FFFFF"/>
                <w:sz w:val="22"/>
              </w:rPr>
              <w:t>Operations Efficiency (IBM Era)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ED760"/>
                <w:sz w:val="22"/>
              </w:rPr>
              <w:t>Efficiency +50%, Quality +90%, Deploy time -80%</w:t>
            </w:r>
          </w:p>
        </w:tc>
      </w:tr>
    </w:tbl>
    <w:p>
      <w:pPr>
        <w:spacing w:before="320" w:after="120" w:line="324" w:lineRule="auto"/>
        <w:jc w:val="left"/>
      </w:pPr>
      <w:r>
        <w:rPr>
          <w:rFonts w:ascii="Helvetica Neue" w:hAnsi="Helvetica Neue" w:eastAsia="Helvetica Neue"/>
          <w:b/>
          <w:color w:val="FFFFFF"/>
          <w:sz w:val="40"/>
        </w:rPr>
        <w:t>Patents &amp; Software Copyrights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268"/>
        <w:gridCol w:w="7370"/>
      </w:tblGrid>
      <w:tr>
        <w:tc>
          <w:tcPr>
            <w:tcW w:type="dxa" w:w="4819"/>
            <w:shd w:val="clear" w:color="auto" w:fill="181818"/>
            <w:tcBorders>
              <w:left w:val="single" w:sz="4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FFFFF"/>
                <w:sz w:val="20"/>
              </w:rPr>
              <w:t>Invention Patent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FFFFF"/>
                <w:sz w:val="20"/>
              </w:rPr>
              <w:t>JetDev Operations Toolchain Core Architecture</w:t>
            </w:r>
            <w:r>
              <w:rPr>
                <w:rFonts w:ascii="Helvetica Neue" w:hAnsi="Helvetica Neue" w:eastAsia="Helvetica Neue"/>
                <w:b w:val="0"/>
                <w:color w:val="1ED760"/>
                <w:sz w:val="20"/>
              </w:rPr>
              <w:t xml:space="preserve">  ·  CN121635905A</w:t>
            </w:r>
          </w:p>
        </w:tc>
      </w:tr>
      <w:tr>
        <w:tc>
          <w:tcPr>
            <w:tcW w:type="dxa" w:w="4819"/>
            <w:shd w:val="clear" w:color="auto" w:fill="181818"/>
            <w:tcBorders>
              <w:left w:val="single" w:sz="4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FFFFF"/>
                <w:sz w:val="20"/>
              </w:rPr>
              <w:t>Software Copyright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FFFFF"/>
                <w:sz w:val="20"/>
              </w:rPr>
              <w:t>JetDev One-Stop DevOps Toolbox Platform</w:t>
            </w:r>
            <w:r>
              <w:rPr>
                <w:rFonts w:ascii="Helvetica Neue" w:hAnsi="Helvetica Neue" w:eastAsia="Helvetica Neue"/>
                <w:b w:val="0"/>
                <w:color w:val="1ED760"/>
                <w:sz w:val="20"/>
              </w:rPr>
              <w:t xml:space="preserve">  ·  2025SR2538156</w:t>
            </w:r>
          </w:p>
        </w:tc>
      </w:tr>
    </w:tbl>
    <w:p>
      <w:pPr>
        <w:spacing w:before="320" w:after="120" w:line="324" w:lineRule="auto"/>
        <w:jc w:val="left"/>
      </w:pPr>
      <w:r>
        <w:rPr>
          <w:rFonts w:ascii="Helvetica Neue" w:hAnsi="Helvetica Neue" w:eastAsia="Helvetica Neue"/>
          <w:b/>
          <w:color w:val="FFFFFF"/>
          <w:sz w:val="40"/>
        </w:rPr>
        <w:t>Tech Stack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551"/>
        <w:gridCol w:w="7087"/>
      </w:tblGrid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ED760"/>
                <w:sz w:val="20"/>
              </w:rPr>
              <w:t>CLOUD PLATFORMS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>CloudStack · AWS · Alibaba Cloud · Huawei Cloud · CT Cloud · Proxmox VE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ED760"/>
                <w:sz w:val="20"/>
              </w:rPr>
              <w:t>CONTAINER ORCHESTRATION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>Kubernetes · Docker · Helm · Harbor · JFrog Artifactory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ED760"/>
                <w:sz w:val="20"/>
              </w:rPr>
              <w:t>IAC AUTOMATION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>Terraform (in-house Provider) · Ansible · Packer · Tinkerbell · cloud-init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ED760"/>
                <w:sz w:val="20"/>
              </w:rPr>
              <w:t>STORAGE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>ZFS · DRBD · DRBD-Reactor · Linstor · LVM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ED760"/>
                <w:sz w:val="20"/>
              </w:rPr>
              <w:t>OBSERVABILITY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>Grafana · Prometheus · Alertmanager · Loki · Fluentd · Zabbix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ED760"/>
                <w:sz w:val="20"/>
              </w:rPr>
              <w:t>SECURITY &amp; COMPLIANCE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>Vault · Nessus · Lynis · Consul ACL · SSL/TLS · Trivy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ED760"/>
                <w:sz w:val="20"/>
              </w:rPr>
              <w:t>CI/CD &amp; GITOPS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>GitLab CI · ArgoCD · Helm · Goss · Jenkins · Ansible Tower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ED760"/>
                <w:sz w:val="20"/>
              </w:rPr>
              <w:t>OPERATING SYSTEMS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>Ubuntu · Anolis OS · UOS · OpenEuler (x86/ARM64/C86)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ED760"/>
                <w:sz w:val="20"/>
              </w:rPr>
              <w:t>LANGUAGES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>Go · Python · Shell/Bash · HCL</w:t>
            </w:r>
          </w:p>
        </w:tc>
      </w:tr>
    </w:tbl>
    <w:p>
      <w:pPr>
        <w:spacing w:before="320" w:after="120" w:line="324" w:lineRule="auto"/>
        <w:jc w:val="left"/>
      </w:pPr>
      <w:r>
        <w:rPr>
          <w:rFonts w:ascii="Helvetica Neue" w:hAnsi="Helvetica Neue" w:eastAsia="Helvetica Neue"/>
          <w:b/>
          <w:color w:val="FFFFFF"/>
          <w:sz w:val="40"/>
        </w:rPr>
        <w:t>Personal Projects</w:t>
      </w:r>
    </w:p>
    <w:p>
      <w:pPr>
        <w:spacing w:after="40"/>
      </w:pPr>
      <w:r>
        <w:rPr>
          <w:rFonts w:ascii="Helvetica Neue" w:hAnsi="Helvetica Neue" w:eastAsia="Helvetica Neue"/>
          <w:b/>
          <w:color w:val="FFFFFF"/>
          <w:sz w:val="24"/>
        </w:rPr>
        <w:t>ResumeForge - Brand-Grade Resume Generator</w:t>
      </w:r>
      <w:r>
        <w:rPr>
          <w:rFonts w:ascii="Helvetica Neue" w:hAnsi="Helvetica Neue" w:eastAsia="Helvetica Neue"/>
          <w:b w:val="0"/>
          <w:color w:val="B3B3B3"/>
          <w:sz w:val="20"/>
        </w:rPr>
        <w:t xml:space="preserve">  |  https://github.com/qiaodeli111/ResumeForge  Apr 2026</w:t>
      </w:r>
    </w:p>
    <w:p>
      <w:pPr>
        <w:spacing w:after="40" w:line="276" w:lineRule="auto"/>
        <w:ind w:left="576"/>
      </w:pPr>
      <w:r>
        <w:rPr>
          <w:rFonts w:ascii="Helvetica Neue" w:hAnsi="Helvetica Neue" w:eastAsia="Helvetica Neue"/>
          <w:b/>
          <w:color w:val="1ED76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Built multi-theme resume generation system from scratch with </w:t>
      </w:r>
      <w:r>
        <w:rPr>
          <w:rFonts w:ascii="Helvetica Neue" w:hAnsi="Helvetica Neue" w:eastAsia="Helvetica Neue"/>
          <w:b/>
          <w:color w:val="FFFFFF"/>
          <w:sz w:val="20"/>
        </w:rPr>
        <w:t>50+ brand design styles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 (Apple/Tesla/Stripe/Vercel etc.)</w:t>
      </w:r>
    </w:p>
    <w:p>
      <w:pPr>
        <w:spacing w:after="40" w:line="276" w:lineRule="auto"/>
        <w:ind w:left="576"/>
      </w:pPr>
      <w:r>
        <w:rPr>
          <w:rFonts w:ascii="Helvetica Neue" w:hAnsi="Helvetica Neue" w:eastAsia="Helvetica Neue"/>
          <w:b/>
          <w:color w:val="1ED76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YAML-driven content management, one-click generation of </w:t>
      </w:r>
      <w:r>
        <w:rPr>
          <w:rFonts w:ascii="Helvetica Neue" w:hAnsi="Helvetica Neue" w:eastAsia="Helvetica Neue"/>
          <w:b/>
          <w:color w:val="FFFFFF"/>
          <w:sz w:val="20"/>
        </w:rPr>
        <w:t>HTML/PDF/DOCX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 formats, bilingual support</w:t>
      </w:r>
    </w:p>
    <w:p>
      <w:pPr>
        <w:spacing w:after="40" w:line="276" w:lineRule="auto"/>
        <w:ind w:left="576"/>
      </w:pPr>
      <w:r>
        <w:rPr>
          <w:rFonts w:ascii="Helvetica Neue" w:hAnsi="Helvetica Neue" w:eastAsia="Helvetica Neue"/>
          <w:b/>
          <w:color w:val="1ED76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>Modular architecture: content-style separation, hot-pluggable themes, extensible brand customization</w:t>
      </w:r>
    </w:p>
    <w:p>
      <w:pPr>
        <w:spacing w:after="40" w:line="276" w:lineRule="auto"/>
        <w:ind w:left="576"/>
      </w:pPr>
      <w:r>
        <w:rPr>
          <w:rFonts w:ascii="Helvetica Neue" w:hAnsi="Helvetica Neue" w:eastAsia="Helvetica Neue"/>
          <w:b/>
          <w:color w:val="1ED76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>Tech stack: Python, Jinja2 templating, python-docx, Chrome Headless PDF rendering</w:t>
      </w:r>
    </w:p>
    <w:p>
      <w:pPr>
        <w:spacing w:after="40" w:line="276" w:lineRule="auto"/>
        <w:ind w:left="576"/>
      </w:pPr>
      <w:r>
        <w:rPr>
          <w:rFonts w:ascii="Helvetica Neue" w:hAnsi="Helvetica Neue" w:eastAsia="Helvetica Neue"/>
          <w:b/>
          <w:color w:val="1ED76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>Full style resume board for me: https://resume.dellyqiao.com</w:t>
      </w:r>
    </w:p>
    <w:p>
      <w:pPr>
        <w:spacing w:after="160"/>
      </w:pPr>
    </w:p>
    <w:p>
      <w:pPr>
        <w:spacing w:before="320" w:after="120" w:line="324" w:lineRule="auto"/>
        <w:jc w:val="left"/>
      </w:pPr>
      <w:r>
        <w:rPr>
          <w:rFonts w:ascii="Helvetica Neue" w:hAnsi="Helvetica Neue" w:eastAsia="Helvetica Neue"/>
          <w:b/>
          <w:color w:val="FFFFFF"/>
          <w:sz w:val="40"/>
        </w:rPr>
        <w:t>Work Experience</w:t>
      </w:r>
    </w:p>
    <w:p>
      <w:pPr>
        <w:spacing w:before="160" w:after="40"/>
      </w:pPr>
      <w:r>
        <w:rPr>
          <w:rFonts w:ascii="Helvetica Neue" w:hAnsi="Helvetica Neue" w:eastAsia="Helvetica Neue"/>
          <w:b/>
          <w:color w:val="FFFFFF"/>
          <w:sz w:val="28"/>
        </w:rPr>
        <w:t>ShenZhen JetIO Technology Co., Ltd.</w:t>
      </w:r>
      <w:r>
        <w:rPr>
          <w:rFonts w:ascii="Helvetica Neue" w:hAnsi="Helvetica Neue" w:eastAsia="Helvetica Neue"/>
          <w:b w:val="0"/>
          <w:color w:val="B3B3B3"/>
          <w:sz w:val="20"/>
        </w:rPr>
        <w:t xml:space="preserve">    Oct 2024 – Present | Shenzhen</w:t>
      </w:r>
    </w:p>
    <w:p>
      <w:pPr>
        <w:spacing w:after="80"/>
      </w:pPr>
      <w:r>
        <w:rPr>
          <w:rFonts w:ascii="Helvetica Neue" w:hAnsi="Helvetica Neue" w:eastAsia="Helvetica Neue"/>
          <w:b/>
          <w:color w:val="1ED760"/>
          <w:sz w:val="22"/>
        </w:rPr>
        <w:t>DevOps Team Lead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B3B3B3"/>
          <w:sz w:val="20"/>
        </w:rPr>
        <w:t xml:space="preserve">Coordinating </w:t>
      </w:r>
      <w:r>
        <w:rPr>
          <w:rFonts w:ascii="Helvetica Neue" w:hAnsi="Helvetica Neue" w:eastAsia="Helvetica Neue"/>
          <w:b/>
          <w:color w:val="B3B3B3"/>
          <w:sz w:val="20"/>
        </w:rPr>
        <w:t>7 parallel projects</w:t>
      </w:r>
      <w:r>
        <w:rPr>
          <w:rFonts w:ascii="Helvetica Neue" w:hAnsi="Helvetica Neue" w:eastAsia="Helvetica Neue"/>
          <w:b w:val="0"/>
          <w:color w:val="B3B3B3"/>
          <w:sz w:val="20"/>
        </w:rPr>
        <w:t xml:space="preserve"> (BMAAS/Terraform/Image Factory/CloudStack/K8s/IT Support/JetDev), leading architecture decisions and tech selection, delivering </w:t>
      </w:r>
      <w:r>
        <w:rPr>
          <w:rFonts w:ascii="Helvetica Neue" w:hAnsi="Helvetica Neue" w:eastAsia="Helvetica Neue"/>
          <w:b/>
          <w:color w:val="B3B3B3"/>
          <w:sz w:val="20"/>
        </w:rPr>
        <w:t>5+ customer sites</w:t>
      </w:r>
      <w:r>
        <w:rPr>
          <w:rFonts w:ascii="Helvetica Neue" w:hAnsi="Helvetica Neue" w:eastAsia="Helvetica Neue"/>
          <w:b w:val="0"/>
          <w:color w:val="B3B3B3"/>
          <w:sz w:val="20"/>
        </w:rPr>
        <w:t>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FFFFFF"/>
          <w:sz w:val="20"/>
        </w:rPr>
        <w:t>▸ Kubernetes Platform Engineering</w:t>
      </w:r>
    </w:p>
    <w:p>
      <w:pPr>
        <w:spacing w:after="40" w:line="276" w:lineRule="auto"/>
        <w:ind w:left="720"/>
      </w:pPr>
      <w:r>
        <w:rPr>
          <w:rFonts w:ascii="Helvetica Neue" w:hAnsi="Helvetica Neue" w:eastAsia="Helvetica Neue"/>
          <w:b/>
          <w:color w:val="1ED76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>Built K8s on CloudStack from scratch: hybrid architecture (control plane on VMs + workloads on K8s), etcd HA, Calico CNI, CSI integration</w:t>
      </w:r>
    </w:p>
    <w:p>
      <w:pPr>
        <w:spacing w:after="40" w:line="276" w:lineRule="auto"/>
        <w:ind w:left="720"/>
      </w:pPr>
      <w:r>
        <w:rPr>
          <w:rFonts w:ascii="Helvetica Neue" w:hAnsi="Helvetica Neue" w:eastAsia="Helvetica Neue"/>
          <w:b/>
          <w:color w:val="1ED76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>Established ArgoCD GitOps conventions: Git repo separation, Helm versioning, environment promotion flow, migrated to 'Git PR is deployment'</w:t>
      </w:r>
    </w:p>
    <w:p>
      <w:pPr>
        <w:spacing w:after="40" w:line="276" w:lineRule="auto"/>
        <w:ind w:left="720"/>
      </w:pPr>
      <w:r>
        <w:rPr>
          <w:rFonts w:ascii="Helvetica Neue" w:hAnsi="Helvetica Neue" w:eastAsia="Helvetica Neue"/>
          <w:b/>
          <w:color w:val="1ED76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>Core service migration: JumpServer Helm Chart migration (Cert-Manager SSL); JFrog Artifactory HA architecture design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FFFFFF"/>
          <w:sz w:val="20"/>
        </w:rPr>
        <w:t>▸ CloudStack Private Cloud</w:t>
      </w:r>
    </w:p>
    <w:p>
      <w:pPr>
        <w:spacing w:after="40" w:line="276" w:lineRule="auto"/>
        <w:ind w:left="720"/>
      </w:pPr>
      <w:r>
        <w:rPr>
          <w:rFonts w:ascii="Helvetica Neue" w:hAnsi="Helvetica Neue" w:eastAsia="Helvetica Neue"/>
          <w:b/>
          <w:color w:val="1ED76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ZFS performance tuning: IOPS </w:t>
      </w:r>
      <w:r>
        <w:rPr>
          <w:rFonts w:ascii="Helvetica Neue" w:hAnsi="Helvetica Neue" w:eastAsia="Helvetica Neue"/>
          <w:b/>
          <w:color w:val="FFFFFF"/>
          <w:sz w:val="20"/>
        </w:rPr>
        <w:t>230k → 800k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; fixed DRBD heartbeat parameters for </w:t>
      </w:r>
      <w:r>
        <w:rPr>
          <w:rFonts w:ascii="Helvetica Neue" w:hAnsi="Helvetica Neue" w:eastAsia="Helvetica Neue"/>
          <w:b/>
          <w:color w:val="FFFFFF"/>
          <w:sz w:val="20"/>
        </w:rPr>
        <w:t>7×24 stability</w:t>
      </w:r>
    </w:p>
    <w:p>
      <w:pPr>
        <w:spacing w:after="40" w:line="276" w:lineRule="auto"/>
        <w:ind w:left="720"/>
      </w:pPr>
      <w:r>
        <w:rPr>
          <w:rFonts w:ascii="Helvetica Neue" w:hAnsi="Helvetica Neue" w:eastAsia="Helvetica Neue"/>
          <w:b/>
          <w:color w:val="1ED76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>Troubleshot critical issues: VM creation failure, migration interruption, read-only mode trigger, with root cause analysis and patch submission</w:t>
      </w:r>
    </w:p>
    <w:p>
      <w:pPr>
        <w:spacing w:after="40" w:line="276" w:lineRule="auto"/>
        <w:ind w:left="720"/>
      </w:pPr>
      <w:r>
        <w:rPr>
          <w:rFonts w:ascii="Helvetica Neue" w:hAnsi="Helvetica Neue" w:eastAsia="Helvetica Neue"/>
          <w:b/>
          <w:color w:val="1ED76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Observability: Alert response reduced from </w:t>
      </w:r>
      <w:r>
        <w:rPr>
          <w:rFonts w:ascii="Helvetica Neue" w:hAnsi="Helvetica Neue" w:eastAsia="Helvetica Neue"/>
          <w:b/>
          <w:color w:val="FFFFFF"/>
          <w:sz w:val="20"/>
        </w:rPr>
        <w:t>hours to minutes</w:t>
      </w:r>
      <w:r>
        <w:rPr>
          <w:rFonts w:ascii="Helvetica Neue" w:hAnsi="Helvetica Neue" w:eastAsia="Helvetica Neue"/>
          <w:b w:val="0"/>
          <w:color w:val="FFFFFF"/>
          <w:sz w:val="20"/>
        </w:rPr>
        <w:t>; launched Grafana capacity dashboards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FFFFFF"/>
          <w:sz w:val="20"/>
        </w:rPr>
        <w:t>▸ BMAAS Bare-Metal Automation</w:t>
      </w:r>
    </w:p>
    <w:p>
      <w:pPr>
        <w:spacing w:after="40" w:line="276" w:lineRule="auto"/>
        <w:ind w:left="720"/>
      </w:pPr>
      <w:r>
        <w:rPr>
          <w:rFonts w:ascii="Helvetica Neue" w:hAnsi="Helvetica Neue" w:eastAsia="Helvetica Neue"/>
          <w:b/>
          <w:color w:val="1ED76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>Extended Tinkerbell/HookOS: added Rescue mode, redfish-batch-ISO tool</w:t>
      </w:r>
    </w:p>
    <w:p>
      <w:pPr>
        <w:spacing w:after="40" w:line="276" w:lineRule="auto"/>
        <w:ind w:left="720"/>
      </w:pPr>
      <w:r>
        <w:rPr>
          <w:rFonts w:ascii="Helvetica Neue" w:hAnsi="Helvetica Neue" w:eastAsia="Helvetica Neue"/>
          <w:b/>
          <w:color w:val="1ED76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>cloud-init zero-touch provisioning: hostname/MTU/disk auto-configuration; x86/ARM64/C86 full-architecture delivery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FFFFFF"/>
          <w:sz w:val="20"/>
        </w:rPr>
        <w:t>▸ Image Factory (Packer)</w:t>
      </w:r>
    </w:p>
    <w:p>
      <w:pPr>
        <w:spacing w:after="40" w:line="276" w:lineRule="auto"/>
        <w:ind w:left="720"/>
      </w:pPr>
      <w:r>
        <w:rPr>
          <w:rFonts w:ascii="Helvetica Neue" w:hAnsi="Helvetica Neue" w:eastAsia="Helvetica Neue"/>
          <w:b/>
          <w:color w:val="1ED76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>5 OS × 3 architecture full-matrix builds; integrated Goss/Lynis/Trivy automated testing</w:t>
      </w:r>
    </w:p>
    <w:p>
      <w:pPr>
        <w:spacing w:after="40" w:line="276" w:lineRule="auto"/>
        <w:ind w:left="720"/>
      </w:pPr>
      <w:r>
        <w:rPr>
          <w:rFonts w:ascii="Helvetica Neue" w:hAnsi="Helvetica Neue" w:eastAsia="Helvetica Neue"/>
          <w:b/>
          <w:color w:val="1ED76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>Localization enablement: Anolis OS on ARM (ZFS/DRBD HA integration), UOS on Hygon C86</w:t>
      </w:r>
    </w:p>
    <w:p>
      <w:pPr>
        <w:spacing w:after="40" w:line="276" w:lineRule="auto"/>
        <w:ind w:left="720"/>
      </w:pPr>
      <w:r>
        <w:rPr>
          <w:rFonts w:ascii="Helvetica Neue" w:hAnsi="Helvetica Neue" w:eastAsia="Helvetica Neue"/>
          <w:b/>
          <w:color w:val="1ED76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Pipeline zero failures for </w:t>
      </w:r>
      <w:r>
        <w:rPr>
          <w:rFonts w:ascii="Helvetica Neue" w:hAnsi="Helvetica Neue" w:eastAsia="Helvetica Neue"/>
          <w:b/>
          <w:color w:val="FFFFFF"/>
          <w:sz w:val="20"/>
        </w:rPr>
        <w:t>30+ days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, efficiency improved </w:t>
      </w:r>
      <w:r>
        <w:rPr>
          <w:rFonts w:ascii="Helvetica Neue" w:hAnsi="Helvetica Neue" w:eastAsia="Helvetica Neue"/>
          <w:b/>
          <w:color w:val="FFFFFF"/>
          <w:sz w:val="20"/>
        </w:rPr>
        <w:t>3.2×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FFFFFF"/>
          <w:sz w:val="20"/>
        </w:rPr>
        <w:t>▸ JetDev Toolchain (Patent &amp; Copyright)</w:t>
      </w:r>
    </w:p>
    <w:p>
      <w:pPr>
        <w:spacing w:after="40" w:line="276" w:lineRule="auto"/>
        <w:ind w:left="720"/>
      </w:pPr>
      <w:r>
        <w:rPr>
          <w:rFonts w:ascii="Helvetica Neue" w:hAnsi="Helvetica Neue" w:eastAsia="Helvetica Neue"/>
          <w:b/>
          <w:color w:val="1ED76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>Built one-stop DevOps toolbox: integrated Ansible/Terraform/Packer/GitLab Runner</w:t>
      </w:r>
    </w:p>
    <w:p>
      <w:pPr>
        <w:spacing w:after="40" w:line="276" w:lineRule="auto"/>
        <w:ind w:left="720"/>
      </w:pPr>
      <w:r>
        <w:rPr>
          <w:rFonts w:ascii="Helvetica Neue" w:hAnsi="Helvetica Neue" w:eastAsia="Helvetica Neue"/>
          <w:b/>
          <w:color w:val="1ED76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Ansible Role scaffold generation time reduced by </w:t>
      </w:r>
      <w:r>
        <w:rPr>
          <w:rFonts w:ascii="Helvetica Neue" w:hAnsi="Helvetica Neue" w:eastAsia="Helvetica Neue"/>
          <w:b/>
          <w:color w:val="FFFFFF"/>
          <w:sz w:val="20"/>
        </w:rPr>
        <w:t>80%</w:t>
      </w:r>
    </w:p>
    <w:p>
      <w:pPr>
        <w:spacing w:after="40" w:line="276" w:lineRule="auto"/>
        <w:ind w:left="720"/>
      </w:pPr>
      <w:r>
        <w:rPr>
          <w:rFonts w:ascii="Helvetica Neue" w:hAnsi="Helvetica Neue" w:eastAsia="Helvetica Neue"/>
          <w:b/>
          <w:color w:val="1ED76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Filed </w:t>
      </w:r>
      <w:r>
        <w:rPr>
          <w:rFonts w:ascii="Helvetica Neue" w:hAnsi="Helvetica Neue" w:eastAsia="Helvetica Neue"/>
          <w:b/>
          <w:color w:val="FFFFFF"/>
          <w:sz w:val="20"/>
        </w:rPr>
        <w:t>Invention Patent CN121635905A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, </w:t>
      </w:r>
      <w:r>
        <w:rPr>
          <w:rFonts w:ascii="Helvetica Neue" w:hAnsi="Helvetica Neue" w:eastAsia="Helvetica Neue"/>
          <w:b/>
          <w:color w:val="FFFFFF"/>
          <w:sz w:val="20"/>
        </w:rPr>
        <w:t>Software Copyright 2025SR2538156</w:t>
      </w:r>
    </w:p>
    <w:p>
      <w:pPr>
        <w:spacing w:after="40" w:line="276" w:lineRule="auto"/>
        <w:ind w:left="720"/>
      </w:pPr>
      <w:r>
        <w:rPr>
          <w:rFonts w:ascii="Helvetica Neue" w:hAnsi="Helvetica Neue" w:eastAsia="Helvetica Neue"/>
          <w:b/>
          <w:color w:val="1ED76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>Adopted by ops and testing teams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/>
          <w:color w:val="FFFFFF"/>
          <w:sz w:val="28"/>
        </w:rPr>
        <w:t>Kyndryl Shenzhen (IBM Spin-off)</w:t>
      </w:r>
      <w:r>
        <w:rPr>
          <w:rFonts w:ascii="Helvetica Neue" w:hAnsi="Helvetica Neue" w:eastAsia="Helvetica Neue"/>
          <w:b w:val="0"/>
          <w:color w:val="B3B3B3"/>
          <w:sz w:val="20"/>
        </w:rPr>
        <w:t xml:space="preserve">    Sep 2021 – Aug 2024 | Shenzhen</w:t>
      </w:r>
    </w:p>
    <w:p>
      <w:pPr>
        <w:spacing w:after="80"/>
      </w:pPr>
      <w:r>
        <w:rPr>
          <w:rFonts w:ascii="Helvetica Neue" w:hAnsi="Helvetica Neue" w:eastAsia="Helvetica Neue"/>
          <w:b/>
          <w:color w:val="1ED760"/>
          <w:sz w:val="22"/>
        </w:rPr>
        <w:t>SRE Engineer (Toolchain) · Technical Lead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B3B3B3"/>
          <w:sz w:val="20"/>
        </w:rPr>
        <w:t>Work identical to IBM: maintained Software Defined Environment (SDE) platform, drove transformation from traditional ops to automated operations; served as Technical Lead for solution design, task allocation, and cross-region collaboration.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/>
          <w:color w:val="FFFFFF"/>
          <w:sz w:val="28"/>
        </w:rPr>
        <w:t>IBM Shenzhen</w:t>
      </w:r>
      <w:r>
        <w:rPr>
          <w:rFonts w:ascii="Helvetica Neue" w:hAnsi="Helvetica Neue" w:eastAsia="Helvetica Neue"/>
          <w:b w:val="0"/>
          <w:color w:val="B3B3B3"/>
          <w:sz w:val="20"/>
        </w:rPr>
        <w:t xml:space="preserve">    Mar 2017 – Sep 2021 | Shenzhen</w:t>
      </w:r>
    </w:p>
    <w:p>
      <w:pPr>
        <w:spacing w:after="80"/>
      </w:pPr>
      <w:r>
        <w:rPr>
          <w:rFonts w:ascii="Helvetica Neue" w:hAnsi="Helvetica Neue" w:eastAsia="Helvetica Neue"/>
          <w:b/>
          <w:color w:val="1ED760"/>
          <w:sz w:val="22"/>
        </w:rPr>
        <w:t>SRE Engineer (Toolchain) · Technical Lead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B3B3B3"/>
          <w:sz w:val="20"/>
        </w:rPr>
        <w:t>Maintained Software Defined Environment (SDE) platform, drove transformation from traditional ops to automated operations; served as Technical Lead for solution design, task allocation, and cross-region collaboration.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FFFFFF"/>
          <w:sz w:val="20"/>
        </w:rPr>
        <w:t>▸ Automated Operations System</w:t>
      </w:r>
    </w:p>
    <w:p>
      <w:pPr>
        <w:spacing w:after="40" w:line="276" w:lineRule="auto"/>
        <w:ind w:left="720"/>
      </w:pPr>
      <w:r>
        <w:rPr>
          <w:rFonts w:ascii="Helvetica Neue" w:hAnsi="Helvetica Neue" w:eastAsia="Helvetica Neue"/>
          <w:b/>
          <w:color w:val="1ED76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Transformed team from "manual + scripts" to </w:t>
      </w:r>
      <w:r>
        <w:rPr>
          <w:rFonts w:ascii="Helvetica Neue" w:hAnsi="Helvetica Neue" w:eastAsia="Helvetica Neue"/>
          <w:b/>
          <w:color w:val="FFFFFF"/>
          <w:sz w:val="20"/>
        </w:rPr>
        <w:t>"local dev + automated build/test + one-click deploy/rollback"</w:t>
      </w:r>
    </w:p>
    <w:p>
      <w:pPr>
        <w:spacing w:after="40" w:line="276" w:lineRule="auto"/>
        <w:ind w:left="720"/>
      </w:pPr>
      <w:r>
        <w:rPr>
          <w:rFonts w:ascii="Helvetica Neue" w:hAnsi="Helvetica Neue" w:eastAsia="Helvetica Neue"/>
          <w:b/>
          <w:color w:val="1ED76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Team ops efficiency </w:t>
      </w:r>
      <w:r>
        <w:rPr>
          <w:rFonts w:ascii="Helvetica Neue" w:hAnsi="Helvetica Neue" w:eastAsia="Helvetica Neue"/>
          <w:b/>
          <w:color w:val="FFFFFF"/>
          <w:sz w:val="20"/>
        </w:rPr>
        <w:t>+50%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, quality </w:t>
      </w:r>
      <w:r>
        <w:rPr>
          <w:rFonts w:ascii="Helvetica Neue" w:hAnsi="Helvetica Neue" w:eastAsia="Helvetica Neue"/>
          <w:b/>
          <w:color w:val="FFFFFF"/>
          <w:sz w:val="20"/>
        </w:rPr>
        <w:t>+90%</w:t>
      </w:r>
      <w:r>
        <w:rPr>
          <w:rFonts w:ascii="Helvetica Neue" w:hAnsi="Helvetica Neue" w:eastAsia="Helvetica Neue"/>
          <w:b w:val="0"/>
          <w:color w:val="FFFFFF"/>
          <w:sz w:val="20"/>
        </w:rPr>
        <w:t>, human errors nearly eliminated</w:t>
      </w:r>
    </w:p>
    <w:p>
      <w:pPr>
        <w:spacing w:after="40" w:line="276" w:lineRule="auto"/>
        <w:ind w:left="720"/>
      </w:pPr>
      <w:r>
        <w:rPr>
          <w:rFonts w:ascii="Helvetica Neue" w:hAnsi="Helvetica Neue" w:eastAsia="Helvetica Neue"/>
          <w:b/>
          <w:color w:val="1ED76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Customer app deployment time </w:t>
      </w:r>
      <w:r>
        <w:rPr>
          <w:rFonts w:ascii="Helvetica Neue" w:hAnsi="Helvetica Neue" w:eastAsia="Helvetica Neue"/>
          <w:b/>
          <w:color w:val="FFFFFF"/>
          <w:sz w:val="20"/>
        </w:rPr>
        <w:t>-80%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, change request handling time </w:t>
      </w:r>
      <w:r>
        <w:rPr>
          <w:rFonts w:ascii="Helvetica Neue" w:hAnsi="Helvetica Neue" w:eastAsia="Helvetica Neue"/>
          <w:b/>
          <w:color w:val="FFFFFF"/>
          <w:sz w:val="20"/>
        </w:rPr>
        <w:t>-50%</w:t>
      </w:r>
    </w:p>
    <w:p>
      <w:pPr>
        <w:spacing w:after="40" w:line="276" w:lineRule="auto"/>
        <w:ind w:left="720"/>
      </w:pPr>
      <w:r>
        <w:rPr>
          <w:rFonts w:ascii="Helvetica Neue" w:hAnsi="Helvetica Neue" w:eastAsia="Helvetica Neue"/>
          <w:b/>
          <w:color w:val="1ED76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>Managed full DevOps toolchain: Chef/GitLab/Jenkins/Ansible Tower/UCD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FFFFFF"/>
          <w:sz w:val="20"/>
        </w:rPr>
        <w:t>▸ AWS Architecture Consulting</w:t>
      </w:r>
    </w:p>
    <w:p>
      <w:pPr>
        <w:spacing w:after="40" w:line="276" w:lineRule="auto"/>
        <w:ind w:left="720"/>
      </w:pPr>
      <w:r>
        <w:rPr>
          <w:rFonts w:ascii="Helvetica Neue" w:hAnsi="Helvetica Neue" w:eastAsia="Helvetica Neue"/>
          <w:b/>
          <w:color w:val="1ED76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Designed global architecture for North America customer: </w:t>
      </w:r>
      <w:r>
        <w:rPr>
          <w:rFonts w:ascii="Helvetica Neue" w:hAnsi="Helvetica Neue" w:eastAsia="Helvetica Neue"/>
          <w:b/>
          <w:color w:val="FFFFFF"/>
          <w:sz w:val="20"/>
        </w:rPr>
        <w:t>ECS → EKS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 cluster migration, Global Accelerator for traffic offload</w:t>
      </w:r>
    </w:p>
    <w:p>
      <w:pPr>
        <w:spacing w:after="40" w:line="276" w:lineRule="auto"/>
        <w:ind w:left="720"/>
      </w:pPr>
      <w:r>
        <w:rPr>
          <w:rFonts w:ascii="Helvetica Neue" w:hAnsi="Helvetica Neue" w:eastAsia="Helvetica Neue"/>
          <w:b/>
          <w:color w:val="1ED76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>Separated storage and database layers, pre-peak horizontal scaling, resolved cross-region latency and high costs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FFFFFF"/>
          <w:sz w:val="20"/>
        </w:rPr>
        <w:t>▸ Team &amp; Achievements</w:t>
      </w:r>
    </w:p>
    <w:p>
      <w:pPr>
        <w:spacing w:after="40" w:line="276" w:lineRule="auto"/>
        <w:ind w:left="720"/>
      </w:pPr>
      <w:r>
        <w:rPr>
          <w:rFonts w:ascii="Helvetica Neue" w:hAnsi="Helvetica Neue" w:eastAsia="Helvetica Neue"/>
          <w:b/>
          <w:color w:val="1ED760"/>
          <w:sz w:val="20"/>
        </w:rPr>
        <w:t xml:space="preserve">•  </w:t>
      </w:r>
      <w:r>
        <w:rPr>
          <w:rFonts w:ascii="Helvetica Neue" w:hAnsi="Helvetica Neue" w:eastAsia="Helvetica Neue"/>
          <w:b/>
          <w:color w:val="FFFFFF"/>
          <w:sz w:val="20"/>
        </w:rPr>
        <w:t>6 consecutive years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 of "Exceed Expectation" annual performance rating</w:t>
      </w:r>
    </w:p>
    <w:p>
      <w:pPr>
        <w:spacing w:after="40" w:line="276" w:lineRule="auto"/>
        <w:ind w:left="720"/>
      </w:pPr>
      <w:r>
        <w:rPr>
          <w:rFonts w:ascii="Helvetica Neue" w:hAnsi="Helvetica Neue" w:eastAsia="Helvetica Neue"/>
          <w:b/>
          <w:color w:val="1ED76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Managed </w:t>
      </w:r>
      <w:r>
        <w:rPr>
          <w:rFonts w:ascii="Helvetica Neue" w:hAnsi="Helvetica Neue" w:eastAsia="Helvetica Neue"/>
          <w:b/>
          <w:color w:val="FFFFFF"/>
          <w:sz w:val="20"/>
        </w:rPr>
        <w:t>4-10 person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 cross-cultural team (China/India), led technical interviews and capability building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/>
          <w:color w:val="FFFFFF"/>
          <w:sz w:val="28"/>
        </w:rPr>
        <w:t>Tianjin NNIT Technology Co., Ltd.</w:t>
      </w:r>
      <w:r>
        <w:rPr>
          <w:rFonts w:ascii="Helvetica Neue" w:hAnsi="Helvetica Neue" w:eastAsia="Helvetica Neue"/>
          <w:b w:val="0"/>
          <w:color w:val="B3B3B3"/>
          <w:sz w:val="20"/>
        </w:rPr>
        <w:t xml:space="preserve">    May 2016 – Mar 2017 | Tianjin</w:t>
      </w:r>
    </w:p>
    <w:p>
      <w:pPr>
        <w:spacing w:after="80"/>
      </w:pPr>
      <w:r>
        <w:rPr>
          <w:rFonts w:ascii="Helvetica Neue" w:hAnsi="Helvetica Neue" w:eastAsia="Helvetica Neue"/>
          <w:b/>
          <w:color w:val="1ED760"/>
          <w:sz w:val="22"/>
        </w:rPr>
        <w:t>Change Service Delivery Manager (ITIL / GxP Compliance)</w:t>
      </w:r>
    </w:p>
    <w:p>
      <w:pPr>
        <w:spacing w:after="120"/>
      </w:pPr>
    </w:p>
    <w:p>
      <w:pPr>
        <w:spacing w:before="80" w:after="40"/>
      </w:pPr>
      <w:r>
        <w:rPr>
          <w:rFonts w:ascii="Helvetica Neue" w:hAnsi="Helvetica Neue" w:eastAsia="Helvetica Neue"/>
          <w:b/>
          <w:color w:val="FFFFFF"/>
          <w:sz w:val="20"/>
        </w:rPr>
        <w:t>▸ Change Management</w:t>
      </w:r>
    </w:p>
    <w:p>
      <w:pPr>
        <w:spacing w:after="40" w:line="276" w:lineRule="auto"/>
        <w:ind w:left="720"/>
      </w:pPr>
      <w:r>
        <w:rPr>
          <w:rFonts w:ascii="Helvetica Neue" w:hAnsi="Helvetica Neue" w:eastAsia="Helvetica Neue"/>
          <w:b/>
          <w:color w:val="1ED76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>Reviewed RFC change requests: business need, risk assessment, execution plan, rollback plan - end-to-end governance</w:t>
      </w:r>
    </w:p>
    <w:p>
      <w:pPr>
        <w:spacing w:after="40" w:line="276" w:lineRule="auto"/>
        <w:ind w:left="720"/>
      </w:pPr>
      <w:r>
        <w:rPr>
          <w:rFonts w:ascii="Helvetica Neue" w:hAnsi="Helvetica Neue" w:eastAsia="Helvetica Neue"/>
          <w:b/>
          <w:color w:val="1ED760"/>
          <w:sz w:val="20"/>
        </w:rPr>
        <w:t xml:space="preserve">•  </w:t>
      </w:r>
      <w:r>
        <w:rPr>
          <w:rFonts w:ascii="Helvetica Neue" w:hAnsi="Helvetica Neue" w:eastAsia="Helvetica Neue"/>
          <w:b/>
          <w:color w:val="FFFFFF"/>
          <w:sz w:val="20"/>
        </w:rPr>
        <w:t>GxP (Good Laboratory Practice)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 compliance document audit, ensuring completeness and compliant signatures</w:t>
      </w:r>
    </w:p>
    <w:p>
      <w:pPr>
        <w:spacing w:after="40" w:line="276" w:lineRule="auto"/>
        <w:ind w:left="720"/>
      </w:pPr>
      <w:r>
        <w:rPr>
          <w:rFonts w:ascii="Helvetica Neue" w:hAnsi="Helvetica Neue" w:eastAsia="Helvetica Neue"/>
          <w:b/>
          <w:color w:val="1ED76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Rebuilt change management workflow with Excel templates + automation scripts, reducing workload by </w:t>
      </w:r>
      <w:r>
        <w:rPr>
          <w:rFonts w:ascii="Helvetica Neue" w:hAnsi="Helvetica Neue" w:eastAsia="Helvetica Neue"/>
          <w:b/>
          <w:color w:val="FFFFFF"/>
          <w:sz w:val="20"/>
        </w:rPr>
        <w:t>80%</w:t>
      </w:r>
    </w:p>
    <w:p>
      <w:pPr>
        <w:spacing w:after="40" w:line="276" w:lineRule="auto"/>
        <w:ind w:left="720"/>
      </w:pPr>
      <w:r>
        <w:rPr>
          <w:rFonts w:ascii="Helvetica Neue" w:hAnsi="Helvetica Neue" w:eastAsia="Helvetica Neue"/>
          <w:b/>
          <w:color w:val="1ED76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>Built monthly productivity report automation pipeline, improving management efficiency and PIR quality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/>
          <w:color w:val="FFFFFF"/>
          <w:sz w:val="28"/>
        </w:rPr>
        <w:t>DXC Technology (formerly CSC)</w:t>
      </w:r>
      <w:r>
        <w:rPr>
          <w:rFonts w:ascii="Helvetica Neue" w:hAnsi="Helvetica Neue" w:eastAsia="Helvetica Neue"/>
          <w:b w:val="0"/>
          <w:color w:val="B3B3B3"/>
          <w:sz w:val="20"/>
        </w:rPr>
        <w:t xml:space="preserve">    Jun 2012 – May 2016 | Tianjin</w:t>
      </w:r>
    </w:p>
    <w:p>
      <w:pPr>
        <w:spacing w:after="80"/>
      </w:pPr>
      <w:r>
        <w:rPr>
          <w:rFonts w:ascii="Helvetica Neue" w:hAnsi="Helvetica Neue" w:eastAsia="Helvetica Neue"/>
          <w:b/>
          <w:color w:val="1ED760"/>
          <w:sz w:val="22"/>
        </w:rPr>
        <w:t>WebHosting Team Lead / Operations Engineer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B3B3B3"/>
          <w:sz w:val="20"/>
        </w:rPr>
        <w:t xml:space="preserve">Provided comprehensive middleware and JavaEE enterprise application operations for </w:t>
      </w:r>
      <w:r>
        <w:rPr>
          <w:rFonts w:ascii="Helvetica Neue" w:hAnsi="Helvetica Neue" w:eastAsia="Helvetica Neue"/>
          <w:b/>
          <w:color w:val="B3B3B3"/>
          <w:sz w:val="20"/>
        </w:rPr>
        <w:t>AIA</w:t>
      </w:r>
      <w:r>
        <w:rPr>
          <w:rFonts w:ascii="Helvetica Neue" w:hAnsi="Helvetica Neue" w:eastAsia="Helvetica Neue"/>
          <w:b w:val="0"/>
          <w:color w:val="B3B3B3"/>
          <w:sz w:val="20"/>
        </w:rPr>
        <w:t xml:space="preserve"> across multiple Asian regions.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FFFFFF"/>
          <w:sz w:val="20"/>
        </w:rPr>
        <w:t>▸ Team Leadership &amp; Automation</w:t>
      </w:r>
    </w:p>
    <w:p>
      <w:pPr>
        <w:spacing w:after="40" w:line="276" w:lineRule="auto"/>
        <w:ind w:left="720"/>
      </w:pPr>
      <w:r>
        <w:rPr>
          <w:rFonts w:ascii="Helvetica Neue" w:hAnsi="Helvetica Neue" w:eastAsia="Helvetica Neue"/>
          <w:b/>
          <w:color w:val="1ED76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Led </w:t>
      </w:r>
      <w:r>
        <w:rPr>
          <w:rFonts w:ascii="Helvetica Neue" w:hAnsi="Helvetica Neue" w:eastAsia="Helvetica Neue"/>
          <w:b/>
          <w:color w:val="FFFFFF"/>
          <w:sz w:val="20"/>
        </w:rPr>
        <w:t>4-person international team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 (China/India, promoted to Team Lead in Sep 2014), automation coverage increased from </w:t>
      </w:r>
      <w:r>
        <w:rPr>
          <w:rFonts w:ascii="Helvetica Neue" w:hAnsi="Helvetica Neue" w:eastAsia="Helvetica Neue"/>
          <w:b/>
          <w:color w:val="FFFFFF"/>
          <w:sz w:val="20"/>
        </w:rPr>
        <w:t>10% → 50%</w:t>
      </w:r>
    </w:p>
    <w:p>
      <w:pPr>
        <w:spacing w:after="40" w:line="276" w:lineRule="auto"/>
        <w:ind w:left="720"/>
      </w:pPr>
      <w:r>
        <w:rPr>
          <w:rFonts w:ascii="Helvetica Neue" w:hAnsi="Helvetica Neue" w:eastAsia="Helvetica Neue"/>
          <w:b/>
          <w:color w:val="1ED76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>Mentored India Offshore team members, built high-performance service platform, received customer commendation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FFFFFF"/>
          <w:sz w:val="20"/>
        </w:rPr>
        <w:t>▸ Key Projects</w:t>
      </w:r>
    </w:p>
    <w:p>
      <w:pPr>
        <w:spacing w:after="40" w:line="276" w:lineRule="auto"/>
        <w:ind w:left="720"/>
      </w:pPr>
      <w:r>
        <w:rPr>
          <w:rFonts w:ascii="Helvetica Neue" w:hAnsi="Helvetica Neue" w:eastAsia="Helvetica Neue"/>
          <w:b/>
          <w:color w:val="1ED76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Led multi-site </w:t>
      </w:r>
      <w:r>
        <w:rPr>
          <w:rFonts w:ascii="Helvetica Neue" w:hAnsi="Helvetica Neue" w:eastAsia="Helvetica Neue"/>
          <w:b/>
          <w:color w:val="FFFFFF"/>
          <w:sz w:val="20"/>
        </w:rPr>
        <w:t>data center migration</w:t>
      </w:r>
      <w:r>
        <w:rPr>
          <w:rFonts w:ascii="Helvetica Neue" w:hAnsi="Helvetica Neue" w:eastAsia="Helvetica Neue"/>
          <w:b w:val="0"/>
          <w:color w:val="FFFFFF"/>
          <w:sz w:val="20"/>
        </w:rPr>
        <w:t>, website partition, and new system establishment</w:t>
      </w:r>
    </w:p>
    <w:p>
      <w:pPr>
        <w:spacing w:after="40" w:line="276" w:lineRule="auto"/>
        <w:ind w:left="720"/>
      </w:pPr>
      <w:r>
        <w:rPr>
          <w:rFonts w:ascii="Helvetica Neue" w:hAnsi="Helvetica Neue" w:eastAsia="Helvetica Neue"/>
          <w:b/>
          <w:color w:val="1ED76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Led </w:t>
      </w:r>
      <w:r>
        <w:rPr>
          <w:rFonts w:ascii="Helvetica Neue" w:hAnsi="Helvetica Neue" w:eastAsia="Helvetica Neue"/>
          <w:b/>
          <w:color w:val="FFFFFF"/>
          <w:sz w:val="20"/>
        </w:rPr>
        <w:t>IBM WAS 6 → WAS 8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 middleware cross-version upgrade migration</w:t>
      </w:r>
    </w:p>
    <w:p>
      <w:pPr>
        <w:spacing w:after="40" w:line="276" w:lineRule="auto"/>
        <w:ind w:left="720"/>
      </w:pPr>
      <w:r>
        <w:rPr>
          <w:rFonts w:ascii="Helvetica Neue" w:hAnsi="Helvetica Neue" w:eastAsia="Helvetica Neue"/>
          <w:b/>
          <w:color w:val="1ED76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>SSL certificate management, disaster recovery testing, Zabbix monitoring system maintenance</w:t>
      </w:r>
    </w:p>
    <w:p>
      <w:pPr>
        <w:spacing w:after="40" w:line="276" w:lineRule="auto"/>
        <w:ind w:left="720"/>
      </w:pPr>
      <w:r>
        <w:rPr>
          <w:rFonts w:ascii="Helvetica Neue" w:hAnsi="Helvetica Neue" w:eastAsia="Helvetica Neue"/>
          <w:b/>
          <w:color w:val="1ED76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Developed automation scripts, team efficiency improved by </w:t>
      </w:r>
      <w:r>
        <w:rPr>
          <w:rFonts w:ascii="Helvetica Neue" w:hAnsi="Helvetica Neue" w:eastAsia="Helvetica Neue"/>
          <w:b/>
          <w:color w:val="FFFFFF"/>
          <w:sz w:val="20"/>
        </w:rPr>
        <w:t>20%</w:t>
      </w:r>
    </w:p>
    <w:p>
      <w:pPr>
        <w:spacing w:before="320" w:after="120" w:line="324" w:lineRule="auto"/>
        <w:jc w:val="left"/>
      </w:pPr>
      <w:r>
        <w:rPr>
          <w:rFonts w:ascii="Helvetica Neue" w:hAnsi="Helvetica Neue" w:eastAsia="Helvetica Neue"/>
          <w:b/>
          <w:color w:val="FFFFFF"/>
          <w:sz w:val="40"/>
        </w:rPr>
        <w:t>Certifications</w:t>
      </w:r>
    </w:p>
    <w:p>
      <w:pPr>
        <w:spacing w:after="80"/>
      </w:pPr>
      <w:r>
        <w:rPr>
          <w:rFonts w:ascii="Helvetica Neue" w:hAnsi="Helvetica Neue" w:eastAsia="Helvetica Neue"/>
          <w:b/>
          <w:color w:val="FFFFFF"/>
          <w:sz w:val="20"/>
        </w:rPr>
        <w:t>AWS SAA</w:t>
      </w:r>
      <w:r>
        <w:rPr>
          <w:rFonts w:ascii="Helvetica Neue" w:hAnsi="Helvetica Neue" w:eastAsia="Helvetica Neue"/>
          <w:b w:val="0"/>
          <w:color w:val="B3B3B3"/>
          <w:sz w:val="18"/>
        </w:rPr>
        <w:t xml:space="preserve"> (Nov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FFFFFF"/>
          <w:sz w:val="20"/>
        </w:rPr>
        <w:t>CKA</w:t>
      </w:r>
      <w:r>
        <w:rPr>
          <w:rFonts w:ascii="Helvetica Neue" w:hAnsi="Helvetica Neue" w:eastAsia="Helvetica Neue"/>
          <w:b w:val="0"/>
          <w:color w:val="B3B3B3"/>
          <w:sz w:val="18"/>
        </w:rPr>
        <w:t xml:space="preserve"> (Aug 2021)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FFFFFF"/>
          <w:sz w:val="20"/>
        </w:rPr>
        <w:t>RHCE</w:t>
      </w:r>
      <w:r>
        <w:rPr>
          <w:rFonts w:ascii="Helvetica Neue" w:hAnsi="Helvetica Neue" w:eastAsia="Helvetica Neue"/>
          <w:b w:val="0"/>
          <w:color w:val="B3B3B3"/>
          <w:sz w:val="18"/>
        </w:rPr>
        <w:t xml:space="preserve"> (Jun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FFFFFF"/>
          <w:sz w:val="20"/>
        </w:rPr>
        <w:t>Azure Admin</w:t>
      </w:r>
      <w:r>
        <w:rPr>
          <w:rFonts w:ascii="Helvetica Neue" w:hAnsi="Helvetica Neue" w:eastAsia="Helvetica Neue"/>
          <w:b w:val="0"/>
          <w:color w:val="B3B3B3"/>
          <w:sz w:val="18"/>
        </w:rPr>
        <w:t xml:space="preserve"> (Apr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FFFFFF"/>
          <w:sz w:val="20"/>
        </w:rPr>
        <w:t>Alibaba Cloud ACP</w:t>
      </w:r>
      <w:r>
        <w:rPr>
          <w:rFonts w:ascii="Helvetica Neue" w:hAnsi="Helvetica Neue" w:eastAsia="Helvetica Neue"/>
          <w:b w:val="0"/>
          <w:color w:val="B3B3B3"/>
          <w:sz w:val="18"/>
        </w:rPr>
        <w:t xml:space="preserve"> (Jul 2021)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FFFFFF"/>
          <w:sz w:val="20"/>
        </w:rPr>
        <w:t>PMP</w:t>
      </w:r>
      <w:r>
        <w:rPr>
          <w:rFonts w:ascii="Helvetica Neue" w:hAnsi="Helvetica Neue" w:eastAsia="Helvetica Neue"/>
          <w:b w:val="0"/>
          <w:color w:val="B3B3B3"/>
          <w:sz w:val="18"/>
        </w:rPr>
        <w:t xml:space="preserve"> (Nov 2017)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FFFFFF"/>
          <w:sz w:val="20"/>
        </w:rPr>
        <w:t>ITIL® Foundation</w:t>
      </w:r>
      <w:r>
        <w:rPr>
          <w:rFonts w:ascii="Helvetica Neue" w:hAnsi="Helvetica Neue" w:eastAsia="Helvetica Neue"/>
          <w:b w:val="0"/>
          <w:color w:val="B3B3B3"/>
          <w:sz w:val="18"/>
        </w:rPr>
        <w:t xml:space="preserve"> (Feb 2017)</w:t>
      </w:r>
    </w:p>
    <w:p>
      <w:pPr>
        <w:spacing w:before="320" w:after="120" w:line="324" w:lineRule="auto"/>
        <w:jc w:val="left"/>
      </w:pPr>
      <w:r>
        <w:rPr>
          <w:rFonts w:ascii="Helvetica Neue" w:hAnsi="Helvetica Neue" w:eastAsia="Helvetica Neue"/>
          <w:b/>
          <w:color w:val="FFFFFF"/>
          <w:sz w:val="40"/>
        </w:rPr>
        <w:t>Education</w:t>
      </w:r>
    </w:p>
    <w:p>
      <w:pPr>
        <w:spacing w:after="80"/>
      </w:pPr>
      <w:r>
        <w:rPr>
          <w:rFonts w:ascii="Helvetica Neue" w:hAnsi="Helvetica Neue" w:eastAsia="Helvetica Neue"/>
          <w:b/>
          <w:color w:val="FFFFFF"/>
          <w:sz w:val="28"/>
        </w:rPr>
        <w:t>Tiangong University</w:t>
      </w:r>
      <w:r>
        <w:rPr>
          <w:rFonts w:ascii="Helvetica Neue" w:hAnsi="Helvetica Neue" w:eastAsia="Helvetica Neue"/>
          <w:b/>
          <w:color w:val="1ED760"/>
          <w:sz w:val="20"/>
        </w:rPr>
        <w:t xml:space="preserve">  【Double First-Class】</w:t>
      </w:r>
      <w:r>
        <w:rPr>
          <w:rFonts w:ascii="Helvetica Neue" w:hAnsi="Helvetica Neue" w:eastAsia="Helvetica Neue"/>
          <w:b w:val="0"/>
          <w:color w:val="B3B3B3"/>
          <w:sz w:val="20"/>
        </w:rPr>
        <w:t xml:space="preserve">    2008 – 2012</w:t>
      </w:r>
    </w:p>
    <w:p>
      <w:pPr>
        <w:spacing w:before="0" w:after="0" w:line="324" w:lineRule="auto"/>
        <w:jc w:val="left"/>
      </w:pPr>
      <w:r>
        <w:rPr>
          <w:rFonts w:ascii="Helvetica Neue" w:hAnsi="Helvetica Neue" w:eastAsia="Helvetica Neue"/>
          <w:b w:val="0"/>
          <w:color w:val="FFFFFF"/>
          <w:sz w:val="22"/>
        </w:rPr>
        <w:t>Bachelor of Software Engineering</w:t>
      </w:r>
    </w:p>
    <w:sectPr w:rsidR="00FC693F" w:rsidRPr="0006063C" w:rsidSect="00034616">
      <w:pgSz w:w="11906" w:h="16838"/>
      <w:pgMar w:top="907" w:right="1134" w:bottom="90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