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933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000000"/>
                <w:sz w:val="56"/>
              </w:rPr>
              <w:t>乔德立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010120"/>
                <w:sz w:val="28"/>
              </w:rPr>
              <w:t>DevOps / Platform 专家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FFFFFF"/>
                <w:sz w:val="22"/>
              </w:rPr>
              <w:t>14 年基础设施自动化经验 · 多云平台工程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深圳   ·  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1" w:space="4" w:color="000000"/>
        </w:pBdr>
      </w:pPr>
    </w:p>
    <w:p>
      <w:pPr>
        <w:spacing w:before="320" w:after="120" w:line="324" w:lineRule="auto"/>
        <w:jc w:val="left"/>
        <w:pBdr>
          <w:left w:val="single" w:sz="4" w:color="bdbbff"/>
        </w:pBdr>
      </w:pPr>
      <w:r>
        <w:rPr>
          <w:rFonts w:ascii="PingFang SC" w:hAnsi="PingFang SC" w:eastAsia="PingFang SC"/>
          <w:b w:val="0"/>
          <w:color w:val="000000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010120"/>
          <w:sz w:val="24"/>
        </w:rPr>
        <w:t>14年DevOps/SRE经验 | IaC体系构建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000000"/>
                <w:sz w:val="24"/>
              </w:rPr>
              <w:t>全栈自动化体系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从0到1构建覆盖物理机（BMAAS）、私有云及多云的全栈基础设施自动化体系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000000"/>
                <w:sz w:val="24"/>
              </w:rPr>
              <w:t>专利与软著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自研一站式DevOps工具箱并申请</w:t>
            </w: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发明专利</w:t>
            </w: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（CN121635905A）及</w:t>
            </w: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软件著作</w:t>
            </w: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（2025SR2538156）</w:t>
            </w:r>
          </w:p>
        </w:tc>
      </w:tr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000000"/>
                <w:sz w:val="24"/>
              </w:rPr>
              <w:t>国产化适配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完成龙蜥/UOS/OpenEuler等国产化平台全链路适配，支撑x86/ARM64/C86三架构标准化交付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000000"/>
                <w:sz w:val="24"/>
              </w:rPr>
              <w:t>认证资质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  <w:pBdr>
          <w:left w:val="single" w:sz="4" w:color="bdbbff"/>
        </w:pBdr>
      </w:pPr>
      <w:r>
        <w:rPr>
          <w:rFonts w:ascii="PingFang SC" w:hAnsi="PingFang SC" w:eastAsia="PingFang SC"/>
          <w:b w:val="0"/>
          <w:color w:val="000000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933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2"/>
              </w:rPr>
              <w:t>ZFS存储性能调优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10120"/>
                <w:sz w:val="22"/>
              </w:rPr>
              <w:t>IOPS 230k → 800k（3.5倍提升）</w:t>
            </w:r>
          </w:p>
        </w:tc>
      </w:tr>
      <w:tr>
        <w:tc>
          <w:tcPr>
            <w:tcW w:type="dxa" w:w="4933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2"/>
              </w:rPr>
              <w:t>镜像工厂流水线效率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10120"/>
                <w:sz w:val="22"/>
              </w:rPr>
              <w:t>构建零失败30天+，效率提升3.2倍</w:t>
            </w:r>
          </w:p>
        </w:tc>
      </w:tr>
      <w:tr>
        <w:tc>
          <w:tcPr>
            <w:tcW w:type="dxa" w:w="4933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2"/>
              </w:rPr>
              <w:t>私有云平台交付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10120"/>
                <w:sz w:val="22"/>
              </w:rPr>
              <w:t>自底而上的高可用，5+客户站点</w:t>
            </w:r>
          </w:p>
        </w:tc>
      </w:tr>
      <w:tr>
        <w:tc>
          <w:tcPr>
            <w:tcW w:type="dxa" w:w="4933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2"/>
              </w:rPr>
              <w:t>并行项目统筹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10120"/>
                <w:sz w:val="22"/>
              </w:rPr>
              <w:t>7个项目同时推进</w:t>
            </w:r>
          </w:p>
        </w:tc>
      </w:tr>
      <w:tr>
        <w:tc>
          <w:tcPr>
            <w:tcW w:type="dxa" w:w="4933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2"/>
              </w:rPr>
              <w:t>运维效率提升（IBM期间）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10120"/>
                <w:sz w:val="22"/>
              </w:rPr>
              <w:t>效率+50%，质量+90%，部署时间-80%</w:t>
            </w:r>
          </w:p>
        </w:tc>
      </w:tr>
    </w:tbl>
    <w:p>
      <w:pPr>
        <w:spacing w:before="320" w:after="120" w:line="324" w:lineRule="auto"/>
        <w:jc w:val="left"/>
        <w:pBdr>
          <w:left w:val="single" w:sz="4" w:color="bdbbff"/>
        </w:pBdr>
      </w:pPr>
      <w:r>
        <w:rPr>
          <w:rFonts w:ascii="PingFang SC" w:hAnsi="PingFang SC" w:eastAsia="PingFang SC"/>
          <w:b w:val="0"/>
          <w:color w:val="000000"/>
          <w:sz w:val="40"/>
        </w:rPr>
        <w:t>专利与软著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933"/>
            <w:shd w:val="clear" w:color="auto" w:fill="ffffff"/>
            <w:tcBorders>
              <w:left w:val="single" w:sz="4" w:color="lavender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发明专利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JetDev运维工具链核心架构</w:t>
            </w:r>
            <w:r>
              <w:rPr>
                <w:rFonts w:ascii="PingFang SC" w:hAnsi="PingFang SC" w:eastAsia="PingFang SC"/>
                <w:b w:val="0"/>
                <w:color w:val="BDBBFF"/>
                <w:sz w:val="20"/>
              </w:rPr>
              <w:t xml:space="preserve">  ·  CN121635905A</w:t>
            </w:r>
          </w:p>
        </w:tc>
      </w:tr>
      <w:tr>
        <w:tc>
          <w:tcPr>
            <w:tcW w:type="dxa" w:w="4933"/>
            <w:shd w:val="clear" w:color="auto" w:fill="ffffff"/>
            <w:tcBorders>
              <w:left w:val="single" w:sz="4" w:color="lavender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软件著作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JetDev一站式DevOps工具箱平台</w:t>
            </w:r>
            <w:r>
              <w:rPr>
                <w:rFonts w:ascii="PingFang SC" w:hAnsi="PingFang SC" w:eastAsia="PingFang SC"/>
                <w:b w:val="0"/>
                <w:color w:val="BDBBFF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  <w:pBdr>
          <w:left w:val="single" w:sz="4" w:color="bdbbff"/>
        </w:pBdr>
      </w:pPr>
      <w:r>
        <w:rPr>
          <w:rFonts w:ascii="PingFang SC" w:hAnsi="PingFang SC" w:eastAsia="PingFang SC"/>
          <w:b w:val="0"/>
          <w:color w:val="000000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10120"/>
                <w:sz w:val="20"/>
              </w:rPr>
              <w:t>云平台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CloudStack · AWS · 阿里云 · 华为云 · 天翼云 · Proxmox VE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10120"/>
                <w:sz w:val="20"/>
              </w:rPr>
              <w:t>容器编排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10120"/>
                <w:sz w:val="20"/>
              </w:rPr>
              <w:t>IAC 自动化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Terraform（自研Provider） · Ansible · Packer · Tinkerbell · cloud-init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10120"/>
                <w:sz w:val="20"/>
              </w:rPr>
              <w:t>存储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10120"/>
                <w:sz w:val="20"/>
              </w:rPr>
              <w:t>监控可观测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10120"/>
                <w:sz w:val="20"/>
              </w:rPr>
              <w:t>安全合规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10120"/>
                <w:sz w:val="20"/>
              </w:rPr>
              <w:t>CI/CD &amp; GITOPS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10120"/>
                <w:sz w:val="20"/>
              </w:rPr>
              <w:t>操作系统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Ubuntu · 龙蜥 Anolis OS · UOS · OpenEuler（x86/ARM64/C86）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10120"/>
                <w:sz w:val="20"/>
              </w:rPr>
              <w:t>开发语言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  <w:pBdr>
          <w:left w:val="single" w:sz="4" w:color="bdbbff"/>
        </w:pBdr>
      </w:pPr>
      <w:r>
        <w:rPr>
          <w:rFonts w:ascii="PingFang SC" w:hAnsi="PingFang SC" w:eastAsia="PingFang SC"/>
          <w:b w:val="0"/>
          <w:color w:val="000000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 w:val="0"/>
          <w:color w:val="000000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FFFFFF"/>
          <w:sz w:val="20"/>
        </w:rPr>
        <w:t xml:space="preserve">  |  https://github.com/qiaodeli111/ResumeForge.git  2026.04</w:t>
      </w:r>
    </w:p>
    <w:p>
      <w:pPr>
        <w:spacing w:after="40" w:line="312" w:lineRule="auto"/>
        <w:ind w:left="576"/>
      </w:pPr>
      <w:r>
        <w:rPr>
          <w:rFonts w:ascii="PingFang SC" w:hAnsi="PingFang SC" w:eastAsia="PingFang SC"/>
          <w:b/>
          <w:color w:val="BDBBFF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000000"/>
          <w:sz w:val="20"/>
        </w:rPr>
        <w:t>50+个品牌设计风格</w:t>
      </w:r>
      <w:r>
        <w:rPr>
          <w:rFonts w:ascii="PingFang SC" w:hAnsi="PingFang SC" w:eastAsia="PingFang SC"/>
          <w:b w:val="0"/>
          <w:color w:val="000000"/>
          <w:sz w:val="20"/>
        </w:rPr>
        <w:t>（Apple/Tesla/Stripe/Vercel等）</w:t>
      </w:r>
    </w:p>
    <w:p>
      <w:pPr>
        <w:spacing w:after="40" w:line="312" w:lineRule="auto"/>
        <w:ind w:left="576"/>
      </w:pPr>
      <w:r>
        <w:rPr>
          <w:rFonts w:ascii="PingFang SC" w:hAnsi="PingFang SC" w:eastAsia="PingFang SC"/>
          <w:b/>
          <w:color w:val="BDBBFF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000000"/>
          <w:sz w:val="20"/>
        </w:rPr>
        <w:t>HTML/PDF/DOCX</w:t>
      </w:r>
      <w:r>
        <w:rPr>
          <w:rFonts w:ascii="PingFang SC" w:hAnsi="PingFang SC" w:eastAsia="PingFang SC"/>
          <w:b w:val="0"/>
          <w:color w:val="000000"/>
          <w:sz w:val="20"/>
        </w:rPr>
        <w:t>三种格式，中英双语支持</w:t>
      </w:r>
    </w:p>
    <w:p>
      <w:pPr>
        <w:spacing w:after="40" w:line="312" w:lineRule="auto"/>
        <w:ind w:left="576"/>
      </w:pPr>
      <w:r>
        <w:rPr>
          <w:rFonts w:ascii="PingFang SC" w:hAnsi="PingFang SC" w:eastAsia="PingFang SC"/>
          <w:b/>
          <w:color w:val="BDBBFF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模块化架构设计：内容与样式分离，主题配置热插拔，支持自定义主题扩展</w:t>
      </w:r>
    </w:p>
    <w:p>
      <w:pPr>
        <w:spacing w:after="40" w:line="312" w:lineRule="auto"/>
        <w:ind w:left="576"/>
      </w:pPr>
      <w:r>
        <w:rPr>
          <w:rFonts w:ascii="PingFang SC" w:hAnsi="PingFang SC" w:eastAsia="PingFang SC"/>
          <w:b/>
          <w:color w:val="BDBBFF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应用技术：Python、Jinja2模板引擎、python-docx、Chrome Headless PDF渲染</w:t>
      </w:r>
    </w:p>
    <w:p>
      <w:pPr>
        <w:spacing w:after="40" w:line="312" w:lineRule="auto"/>
        <w:ind w:left="576"/>
      </w:pPr>
      <w:r>
        <w:rPr>
          <w:rFonts w:ascii="PingFang SC" w:hAnsi="PingFang SC" w:eastAsia="PingFang SC"/>
          <w:b/>
          <w:color w:val="BDBBFF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个人简历制成品演示站：https://resume.dellyqiao.com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left w:val="single" w:sz="4" w:color="bdbbff"/>
        </w:pBdr>
      </w:pPr>
      <w:r>
        <w:rPr>
          <w:rFonts w:ascii="PingFang SC" w:hAnsi="PingFang SC" w:eastAsia="PingFang SC"/>
          <w:b w:val="0"/>
          <w:color w:val="000000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 w:val="0"/>
          <w:color w:val="000000"/>
          <w:sz w:val="28"/>
        </w:rPr>
        <w:t>深圳捷誊技术有限公司</w:t>
      </w:r>
      <w:r>
        <w:rPr>
          <w:rFonts w:ascii="PingFang SC" w:hAnsi="PingFang SC" w:eastAsia="PingFang SC"/>
          <w:b w:val="0"/>
          <w:color w:val="FFFFFF"/>
          <w:sz w:val="20"/>
        </w:rPr>
        <w:t xml:space="preserve">    2024.10 – 至今 | 深圳</w:t>
      </w:r>
    </w:p>
    <w:p>
      <w:pPr>
        <w:spacing w:after="80"/>
      </w:pPr>
      <w:r>
        <w:rPr>
          <w:rFonts w:ascii="PingFang SC" w:hAnsi="PingFang SC" w:eastAsia="PingFang SC"/>
          <w:b/>
          <w:color w:val="010120"/>
          <w:sz w:val="22"/>
        </w:rPr>
        <w:t>DevOps Team Lead</w:t>
      </w:r>
    </w:p>
    <w:p>
      <w:pPr>
        <w:spacing w:after="120"/>
      </w:pPr>
      <w:r>
        <w:rPr>
          <w:rFonts w:ascii="PingFang SC" w:hAnsi="PingFang SC" w:eastAsia="PingFang SC"/>
          <w:b w:val="0"/>
          <w:color w:val="FFFFFF"/>
          <w:sz w:val="20"/>
        </w:rPr>
        <w:t xml:space="preserve">统筹 </w:t>
      </w:r>
      <w:r>
        <w:rPr>
          <w:rFonts w:ascii="PingFang SC" w:hAnsi="PingFang SC" w:eastAsia="PingFang SC"/>
          <w:b/>
          <w:color w:val="FFFFFF"/>
          <w:sz w:val="20"/>
        </w:rPr>
        <w:t>7个并行项目</w:t>
      </w:r>
      <w:r>
        <w:rPr>
          <w:rFonts w:ascii="PingFang SC" w:hAnsi="PingFang SC" w:eastAsia="PingFang SC"/>
          <w:b w:val="0"/>
          <w:color w:val="FFFFFF"/>
          <w:sz w:val="20"/>
        </w:rPr>
        <w:t xml:space="preserve">（BMAAS/Terraform/镜像工厂/CloudStack/K8s/IT支撑/JetDev），主导技术选型与架构设计，带领团队完成 </w:t>
      </w:r>
      <w:r>
        <w:rPr>
          <w:rFonts w:ascii="PingFang SC" w:hAnsi="PingFang SC" w:eastAsia="PingFang SC"/>
          <w:b/>
          <w:color w:val="FFFFFF"/>
          <w:sz w:val="20"/>
        </w:rPr>
        <w:t>5+客户站点</w:t>
      </w:r>
      <w:r>
        <w:rPr>
          <w:rFonts w:ascii="PingFang SC" w:hAnsi="PingFang SC" w:eastAsia="PingFang SC"/>
          <w:b w:val="0"/>
          <w:color w:val="FFFFFF"/>
          <w:sz w:val="20"/>
        </w:rPr>
        <w:t>交付。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→ Kubernetes平台建设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BDBBFF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从0到1落地K8s on CloudStack：确立混合云架构（控制面托管VM + 工作负载运行K8s），完成etcd HA、Calico CNI、CSI集成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BDBBFF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制定ArgoCD GitOps规范：Git仓库分离、Helm版本管理、环境晋级流程，迁移至"Git PR即部署"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BDBBFF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核心服务迁移：JumpServer Helm Chart迁移（Cert-Manager SSL）；JFrog Artifactory高可用架构设计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→ CloudStack私有云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BDBBFF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 xml:space="preserve">ZFS性能调优：IOPS </w:t>
      </w:r>
      <w:r>
        <w:rPr>
          <w:rFonts w:ascii="PingFang SC" w:hAnsi="PingFang SC" w:eastAsia="PingFang SC"/>
          <w:b/>
          <w:color w:val="000000"/>
          <w:sz w:val="20"/>
        </w:rPr>
        <w:t>230k → 800k</w:t>
      </w:r>
      <w:r>
        <w:rPr>
          <w:rFonts w:ascii="PingFang SC" w:hAnsi="PingFang SC" w:eastAsia="PingFang SC"/>
          <w:b w:val="0"/>
          <w:color w:val="000000"/>
          <w:sz w:val="20"/>
        </w:rPr>
        <w:t>；修复DRBD心跳参数实现</w:t>
      </w:r>
      <w:r>
        <w:rPr>
          <w:rFonts w:ascii="PingFang SC" w:hAnsi="PingFang SC" w:eastAsia="PingFang SC"/>
          <w:b/>
          <w:color w:val="000000"/>
          <w:sz w:val="20"/>
        </w:rPr>
        <w:t>7×24稳定运行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BDBBFF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排查疑难故障：VM创建失败、迁移中断、只读模式触发，完成根因分析与patch提交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BDBBFF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可观测建设：告警响应从</w:t>
      </w:r>
      <w:r>
        <w:rPr>
          <w:rFonts w:ascii="PingFang SC" w:hAnsi="PingFang SC" w:eastAsia="PingFang SC"/>
          <w:b/>
          <w:color w:val="000000"/>
          <w:sz w:val="20"/>
        </w:rPr>
        <w:t>小时级→分钟级</w:t>
      </w:r>
      <w:r>
        <w:rPr>
          <w:rFonts w:ascii="PingFang SC" w:hAnsi="PingFang SC" w:eastAsia="PingFang SC"/>
          <w:b w:val="0"/>
          <w:color w:val="000000"/>
          <w:sz w:val="20"/>
        </w:rPr>
        <w:t>；上线Grafana资源看板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→ BMAAS裸金属自动化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BDBBFF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扩展Tinkerbell/HookOS：新增Rescue模式、redfish-batch-ISO工具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BDBBFF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cloud-init无人值守：主机名/MTU/磁盘自动配置；x86/ARM64/C86全架构交付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→ 镜像工厂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BDBBFF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5类OS × 3架构全矩阵打包；集成Goss/Lynis/Trivy自动化测试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BDBBFF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国产化适配：龙蜥ARM（ZFS/DRBD HA联调）、UOS海光C86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BDBBFF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流水线零失败</w:t>
      </w:r>
      <w:r>
        <w:rPr>
          <w:rFonts w:ascii="PingFang SC" w:hAnsi="PingFang SC" w:eastAsia="PingFang SC"/>
          <w:b/>
          <w:color w:val="000000"/>
          <w:sz w:val="20"/>
        </w:rPr>
        <w:t>30天+</w:t>
      </w:r>
      <w:r>
        <w:rPr>
          <w:rFonts w:ascii="PingFang SC" w:hAnsi="PingFang SC" w:eastAsia="PingFang SC"/>
          <w:b w:val="0"/>
          <w:color w:val="000000"/>
          <w:sz w:val="20"/>
        </w:rPr>
        <w:t>，效率提升</w:t>
      </w:r>
      <w:r>
        <w:rPr>
          <w:rFonts w:ascii="PingFang SC" w:hAnsi="PingFang SC" w:eastAsia="PingFang SC"/>
          <w:b/>
          <w:color w:val="000000"/>
          <w:sz w:val="20"/>
        </w:rPr>
        <w:t>3.2倍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→ JetDev工具链（专利软著成果）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BDBBFF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自研一站式DevOps工具箱：集成Ansible/Terraform/Packer/GitLab Runner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BDBBFF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Ansible Role脚手架生成时间缩短</w:t>
      </w:r>
      <w:r>
        <w:rPr>
          <w:rFonts w:ascii="PingFang SC" w:hAnsi="PingFang SC" w:eastAsia="PingFang SC"/>
          <w:b/>
          <w:color w:val="000000"/>
          <w:sz w:val="20"/>
        </w:rPr>
        <w:t>80%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BDBBFF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申请</w:t>
      </w:r>
      <w:r>
        <w:rPr>
          <w:rFonts w:ascii="PingFang SC" w:hAnsi="PingFang SC" w:eastAsia="PingFang SC"/>
          <w:b/>
          <w:color w:val="000000"/>
          <w:sz w:val="20"/>
        </w:rPr>
        <w:t>发明专利CN121635905A</w:t>
      </w:r>
      <w:r>
        <w:rPr>
          <w:rFonts w:ascii="PingFang SC" w:hAnsi="PingFang SC" w:eastAsia="PingFang SC"/>
          <w:b w:val="0"/>
          <w:color w:val="000000"/>
          <w:sz w:val="20"/>
        </w:rPr>
        <w:t>、</w:t>
      </w:r>
      <w:r>
        <w:rPr>
          <w:rFonts w:ascii="PingFang SC" w:hAnsi="PingFang SC" w:eastAsia="PingFang SC"/>
          <w:b/>
          <w:color w:val="000000"/>
          <w:sz w:val="20"/>
        </w:rPr>
        <w:t>软件著作2025SR2538156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BDBBFF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运维及测试团队已推广落地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000000"/>
          <w:sz w:val="28"/>
        </w:rPr>
        <w:t>Kyndryl深圳（IBM拆分）</w:t>
      </w:r>
      <w:r>
        <w:rPr>
          <w:rFonts w:ascii="PingFang SC" w:hAnsi="PingFang SC" w:eastAsia="PingFang SC"/>
          <w:b w:val="0"/>
          <w:color w:val="FFFFFF"/>
          <w:sz w:val="20"/>
        </w:rPr>
        <w:t xml:space="preserve">    2021.09 – 2024.08 | 深圳</w:t>
      </w:r>
    </w:p>
    <w:p>
      <w:pPr>
        <w:spacing w:after="80"/>
      </w:pPr>
      <w:r>
        <w:rPr>
          <w:rFonts w:ascii="PingFang SC" w:hAnsi="PingFang SC" w:eastAsia="PingFang SC"/>
          <w:b/>
          <w:color w:val="010120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FFFFFF"/>
          <w:sz w:val="20"/>
        </w:rPr>
        <w:t>工作内容与IBM完全一致：维护 Software Defined Environment (SDE) 平台，推动传统运维向自动化运维转型；担任技术 Leader，负责方案探索、任务分配与跨区协作。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000000"/>
          <w:sz w:val="28"/>
        </w:rPr>
        <w:t>IBM深圳</w:t>
      </w:r>
      <w:r>
        <w:rPr>
          <w:rFonts w:ascii="PingFang SC" w:hAnsi="PingFang SC" w:eastAsia="PingFang SC"/>
          <w:b w:val="0"/>
          <w:color w:val="FFFFFF"/>
          <w:sz w:val="20"/>
        </w:rPr>
        <w:t xml:space="preserve">    2017.03 – 2021.09 | 深圳</w:t>
      </w:r>
    </w:p>
    <w:p>
      <w:pPr>
        <w:spacing w:after="80"/>
      </w:pPr>
      <w:r>
        <w:rPr>
          <w:rFonts w:ascii="PingFang SC" w:hAnsi="PingFang SC" w:eastAsia="PingFang SC"/>
          <w:b/>
          <w:color w:val="010120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FFFFFF"/>
          <w:sz w:val="20"/>
        </w:rPr>
        <w:t>维护 Software Defined Environment (SDE) 平台，推动传统运维向自动化运维转型；担任技术 Leader，负责方案探索、任务分配与跨区协作。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→ 自动化运维体系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BDBBFF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从"手工+脚本"转型为</w:t>
      </w:r>
      <w:r>
        <w:rPr>
          <w:rFonts w:ascii="PingFang SC" w:hAnsi="PingFang SC" w:eastAsia="PingFang SC"/>
          <w:b/>
          <w:color w:val="000000"/>
          <w:sz w:val="20"/>
        </w:rPr>
        <w:t>"本地开发 + 自动化构建测试 + 一键部署回滚"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BDBBFF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团队运维效率</w:t>
      </w:r>
      <w:r>
        <w:rPr>
          <w:rFonts w:ascii="PingFang SC" w:hAnsi="PingFang SC" w:eastAsia="PingFang SC"/>
          <w:b/>
          <w:color w:val="000000"/>
          <w:sz w:val="20"/>
        </w:rPr>
        <w:t>+50%</w:t>
      </w:r>
      <w:r>
        <w:rPr>
          <w:rFonts w:ascii="PingFang SC" w:hAnsi="PingFang SC" w:eastAsia="PingFang SC"/>
          <w:b w:val="0"/>
          <w:color w:val="000000"/>
          <w:sz w:val="20"/>
        </w:rPr>
        <w:t>，质量</w:t>
      </w:r>
      <w:r>
        <w:rPr>
          <w:rFonts w:ascii="PingFang SC" w:hAnsi="PingFang SC" w:eastAsia="PingFang SC"/>
          <w:b/>
          <w:color w:val="000000"/>
          <w:sz w:val="20"/>
        </w:rPr>
        <w:t>+90%</w:t>
      </w:r>
      <w:r>
        <w:rPr>
          <w:rFonts w:ascii="PingFang SC" w:hAnsi="PingFang SC" w:eastAsia="PingFang SC"/>
          <w:b w:val="0"/>
          <w:color w:val="000000"/>
          <w:sz w:val="20"/>
        </w:rPr>
        <w:t>，人为失误几乎归零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BDBBFF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客户应用部署时间</w:t>
      </w:r>
      <w:r>
        <w:rPr>
          <w:rFonts w:ascii="PingFang SC" w:hAnsi="PingFang SC" w:eastAsia="PingFang SC"/>
          <w:b/>
          <w:color w:val="000000"/>
          <w:sz w:val="20"/>
        </w:rPr>
        <w:t>-80%</w:t>
      </w:r>
      <w:r>
        <w:rPr>
          <w:rFonts w:ascii="PingFang SC" w:hAnsi="PingFang SC" w:eastAsia="PingFang SC"/>
          <w:b w:val="0"/>
          <w:color w:val="000000"/>
          <w:sz w:val="20"/>
        </w:rPr>
        <w:t>，变更请求处理时间</w:t>
      </w:r>
      <w:r>
        <w:rPr>
          <w:rFonts w:ascii="PingFang SC" w:hAnsi="PingFang SC" w:eastAsia="PingFang SC"/>
          <w:b/>
          <w:color w:val="000000"/>
          <w:sz w:val="20"/>
        </w:rPr>
        <w:t>-50%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BDBBFF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管理Chef/GitLab/Jenkins/Ansible Tower/UCD全链路DevOps工具链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→ AWS架构咨询 · 云上方案设计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BDBBFF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为北美客户设计全球化架构：</w:t>
      </w:r>
      <w:r>
        <w:rPr>
          <w:rFonts w:ascii="PingFang SC" w:hAnsi="PingFang SC" w:eastAsia="PingFang SC"/>
          <w:b/>
          <w:color w:val="000000"/>
          <w:sz w:val="20"/>
        </w:rPr>
        <w:t>ECS → EKS</w:t>
      </w:r>
      <w:r>
        <w:rPr>
          <w:rFonts w:ascii="PingFang SC" w:hAnsi="PingFang SC" w:eastAsia="PingFang SC"/>
          <w:b w:val="0"/>
          <w:color w:val="000000"/>
          <w:sz w:val="20"/>
        </w:rPr>
        <w:t>集群化改造，Global Accelerator分流加速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BDBBFF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分离存储与数据库、流量峰值前横向扩展，解决跨区访问慢与成本高的问题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→ 团队与成就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BDBBFF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连续</w:t>
      </w:r>
      <w:r>
        <w:rPr>
          <w:rFonts w:ascii="PingFang SC" w:hAnsi="PingFang SC" w:eastAsia="PingFang SC"/>
          <w:b/>
          <w:color w:val="000000"/>
          <w:sz w:val="20"/>
        </w:rPr>
        <w:t>6年</w:t>
      </w:r>
      <w:r>
        <w:rPr>
          <w:rFonts w:ascii="PingFang SC" w:hAnsi="PingFang SC" w:eastAsia="PingFang SC"/>
          <w:b w:val="0"/>
          <w:color w:val="000000"/>
          <w:sz w:val="20"/>
        </w:rPr>
        <w:t>年度考核"Exceed Expectation"（超出预期）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BDBBFF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管理</w:t>
      </w:r>
      <w:r>
        <w:rPr>
          <w:rFonts w:ascii="PingFang SC" w:hAnsi="PingFang SC" w:eastAsia="PingFang SC"/>
          <w:b/>
          <w:color w:val="000000"/>
          <w:sz w:val="20"/>
        </w:rPr>
        <w:t>4-10人</w:t>
      </w:r>
      <w:r>
        <w:rPr>
          <w:rFonts w:ascii="PingFang SC" w:hAnsi="PingFang SC" w:eastAsia="PingFang SC"/>
          <w:b w:val="0"/>
          <w:color w:val="000000"/>
          <w:sz w:val="20"/>
        </w:rPr>
        <w:t>跨文化团队（中/印），主导技术面试与能力建设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000000"/>
          <w:sz w:val="28"/>
        </w:rPr>
        <w:t>天津恩恩科技有限公司</w:t>
      </w:r>
      <w:r>
        <w:rPr>
          <w:rFonts w:ascii="PingFang SC" w:hAnsi="PingFang SC" w:eastAsia="PingFang SC"/>
          <w:b w:val="0"/>
          <w:color w:val="FFFFFF"/>
          <w:sz w:val="20"/>
        </w:rPr>
        <w:t xml:space="preserve">    2016.05 – 2017.03 | 天津</w:t>
      </w:r>
    </w:p>
    <w:p>
      <w:pPr>
        <w:spacing w:after="80"/>
      </w:pPr>
      <w:r>
        <w:rPr>
          <w:rFonts w:ascii="PingFang SC" w:hAnsi="PingFang SC" w:eastAsia="PingFang SC"/>
          <w:b/>
          <w:color w:val="010120"/>
          <w:sz w:val="22"/>
        </w:rPr>
        <w:t>变更服务交付经理（ITIL / GxP 合规方向）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→ 变更管理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BDBBFF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审核 RFC 变更请求：业务需求、风险评估、执行计划、回滚计划全流程把关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BDBBFF"/>
          <w:sz w:val="20"/>
        </w:rPr>
        <w:t xml:space="preserve">• </w:t>
      </w:r>
      <w:r>
        <w:rPr>
          <w:rFonts w:ascii="PingFang SC" w:hAnsi="PingFang SC" w:eastAsia="PingFang SC"/>
          <w:b/>
          <w:color w:val="000000"/>
          <w:sz w:val="20"/>
        </w:rPr>
        <w:t>GxP（良好实验室规范）</w:t>
      </w:r>
      <w:r>
        <w:rPr>
          <w:rFonts w:ascii="PingFang SC" w:hAnsi="PingFang SC" w:eastAsia="PingFang SC"/>
          <w:b w:val="0"/>
          <w:color w:val="000000"/>
          <w:sz w:val="20"/>
        </w:rPr>
        <w:t>合规变更文档审查，确保完整性与合规签署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BDBBFF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Excel模板+自动化脚本重构变更管理流程，工作量减少</w:t>
      </w:r>
      <w:r>
        <w:rPr>
          <w:rFonts w:ascii="PingFang SC" w:hAnsi="PingFang SC" w:eastAsia="PingFang SC"/>
          <w:b/>
          <w:color w:val="000000"/>
          <w:sz w:val="20"/>
        </w:rPr>
        <w:t>80%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BDBBFF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自研月度生产力报表自动化脚本，显著提升管理效率与 PIR 质量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000000"/>
          <w:sz w:val="28"/>
        </w:rPr>
        <w:t>DXC Technology（原 CSC）</w:t>
      </w:r>
      <w:r>
        <w:rPr>
          <w:rFonts w:ascii="PingFang SC" w:hAnsi="PingFang SC" w:eastAsia="PingFang SC"/>
          <w:b w:val="0"/>
          <w:color w:val="FFFFFF"/>
          <w:sz w:val="20"/>
        </w:rPr>
        <w:t xml:space="preserve">    2012.06 – 2016.05 | 天津</w:t>
      </w:r>
    </w:p>
    <w:p>
      <w:pPr>
        <w:spacing w:after="80"/>
      </w:pPr>
      <w:r>
        <w:rPr>
          <w:rFonts w:ascii="PingFang SC" w:hAnsi="PingFang SC" w:eastAsia="PingFang SC"/>
          <w:b/>
          <w:color w:val="010120"/>
          <w:sz w:val="22"/>
        </w:rPr>
        <w:t>WebHosting团队队长 / 运维工程师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FFFFFF"/>
          <w:sz w:val="20"/>
        </w:rPr>
        <w:t xml:space="preserve">为 </w:t>
      </w:r>
      <w:r>
        <w:rPr>
          <w:rFonts w:ascii="PingFang SC" w:hAnsi="PingFang SC" w:eastAsia="PingFang SC"/>
          <w:b/>
          <w:color w:val="FFFFFF"/>
          <w:sz w:val="20"/>
        </w:rPr>
        <w:t>AIA 友邦保险</w:t>
      </w:r>
      <w:r>
        <w:rPr>
          <w:rFonts w:ascii="PingFang SC" w:hAnsi="PingFang SC" w:eastAsia="PingFang SC"/>
          <w:b w:val="0"/>
          <w:color w:val="FFFFFF"/>
          <w:sz w:val="20"/>
        </w:rPr>
        <w:t>亚洲多地客户提供中间件与 JavaEE 企业级应用的全方位运维服务。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→ 团队领导与自动化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BDBBFF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带领</w:t>
      </w:r>
      <w:r>
        <w:rPr>
          <w:rFonts w:ascii="PingFang SC" w:hAnsi="PingFang SC" w:eastAsia="PingFang SC"/>
          <w:b/>
          <w:color w:val="000000"/>
          <w:sz w:val="20"/>
        </w:rPr>
        <w:t>4人国际团队</w:t>
      </w:r>
      <w:r>
        <w:rPr>
          <w:rFonts w:ascii="PingFang SC" w:hAnsi="PingFang SC" w:eastAsia="PingFang SC"/>
          <w:b w:val="0"/>
          <w:color w:val="000000"/>
          <w:sz w:val="20"/>
        </w:rPr>
        <w:t>（中/印，2014.09 升任队长），自动化程度从</w:t>
      </w:r>
      <w:r>
        <w:rPr>
          <w:rFonts w:ascii="PingFang SC" w:hAnsi="PingFang SC" w:eastAsia="PingFang SC"/>
          <w:b/>
          <w:color w:val="000000"/>
          <w:sz w:val="20"/>
        </w:rPr>
        <w:t>10% → 50%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BDBBFF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培养印度 Offshore 团队成员，打造高绩效服务平台，获客户表彰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→ 关键项目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BDBBFF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主导多站点</w:t>
      </w:r>
      <w:r>
        <w:rPr>
          <w:rFonts w:ascii="PingFang SC" w:hAnsi="PingFang SC" w:eastAsia="PingFang SC"/>
          <w:b/>
          <w:color w:val="000000"/>
          <w:sz w:val="20"/>
        </w:rPr>
        <w:t>数据中心迁移</w:t>
      </w:r>
      <w:r>
        <w:rPr>
          <w:rFonts w:ascii="PingFang SC" w:hAnsi="PingFang SC" w:eastAsia="PingFang SC"/>
          <w:b w:val="0"/>
          <w:color w:val="000000"/>
          <w:sz w:val="20"/>
        </w:rPr>
        <w:t>、网站分割、新系统建立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BDBBFF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 xml:space="preserve">主导 </w:t>
      </w:r>
      <w:r>
        <w:rPr>
          <w:rFonts w:ascii="PingFang SC" w:hAnsi="PingFang SC" w:eastAsia="PingFang SC"/>
          <w:b/>
          <w:color w:val="000000"/>
          <w:sz w:val="20"/>
        </w:rPr>
        <w:t>IBM WAS 6 → WAS 8</w:t>
      </w:r>
      <w:r>
        <w:rPr>
          <w:rFonts w:ascii="PingFang SC" w:hAnsi="PingFang SC" w:eastAsia="PingFang SC"/>
          <w:b w:val="0"/>
          <w:color w:val="000000"/>
          <w:sz w:val="20"/>
        </w:rPr>
        <w:t xml:space="preserve"> 中间件跨版本升级迁移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BDBBFF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SSL 证书管理、灾备测试、Zabbix 监控体系维护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BDBBFF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开发自动化运维脚本，团队效率</w:t>
      </w:r>
      <w:r>
        <w:rPr>
          <w:rFonts w:ascii="PingFang SC" w:hAnsi="PingFang SC" w:eastAsia="PingFang SC"/>
          <w:b/>
          <w:color w:val="000000"/>
          <w:sz w:val="20"/>
        </w:rPr>
        <w:t>+20%</w:t>
      </w:r>
    </w:p>
    <w:p>
      <w:pPr>
        <w:spacing w:before="320" w:after="120" w:line="324" w:lineRule="auto"/>
        <w:jc w:val="left"/>
        <w:pBdr>
          <w:left w:val="single" w:sz="4" w:color="bdbbff"/>
        </w:pBdr>
      </w:pPr>
      <w:r>
        <w:rPr>
          <w:rFonts w:ascii="PingFang SC" w:hAnsi="PingFang SC" w:eastAsia="PingFang SC"/>
          <w:b w:val="0"/>
          <w:color w:val="000000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 w:val="0"/>
          <w:color w:val="000000"/>
          <w:sz w:val="20"/>
        </w:rPr>
        <w:t>AWS SAA</w:t>
      </w:r>
      <w:r>
        <w:rPr>
          <w:rFonts w:ascii="PingFang SC" w:hAnsi="PingFang SC" w:eastAsia="PingFang SC"/>
          <w:b w:val="0"/>
          <w:color w:val="FFFFFF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000000"/>
          <w:sz w:val="20"/>
        </w:rPr>
        <w:t>CKA</w:t>
      </w:r>
      <w:r>
        <w:rPr>
          <w:rFonts w:ascii="PingFang SC" w:hAnsi="PingFang SC" w:eastAsia="PingFang SC"/>
          <w:b w:val="0"/>
          <w:color w:val="FFFFFF"/>
          <w:sz w:val="18"/>
        </w:rPr>
        <w:t xml:space="preserve"> (2021.08)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000000"/>
          <w:sz w:val="20"/>
        </w:rPr>
        <w:t>RHCE</w:t>
      </w:r>
      <w:r>
        <w:rPr>
          <w:rFonts w:ascii="PingFang SC" w:hAnsi="PingFang SC" w:eastAsia="PingFang SC"/>
          <w:b w:val="0"/>
          <w:color w:val="FFFFFF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000000"/>
          <w:sz w:val="20"/>
        </w:rPr>
        <w:t>Azure Admin</w:t>
      </w:r>
      <w:r>
        <w:rPr>
          <w:rFonts w:ascii="PingFang SC" w:hAnsi="PingFang SC" w:eastAsia="PingFang SC"/>
          <w:b w:val="0"/>
          <w:color w:val="FFFFFF"/>
          <w:sz w:val="18"/>
        </w:rPr>
        <w:t xml:space="preserve"> (2022.04)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000000"/>
          <w:sz w:val="20"/>
        </w:rPr>
        <w:t>阿里云ACP</w:t>
      </w:r>
      <w:r>
        <w:rPr>
          <w:rFonts w:ascii="PingFang SC" w:hAnsi="PingFang SC" w:eastAsia="PingFang SC"/>
          <w:b w:val="0"/>
          <w:color w:val="FFFFFF"/>
          <w:sz w:val="18"/>
        </w:rPr>
        <w:t xml:space="preserve"> (2021.07)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000000"/>
          <w:sz w:val="20"/>
        </w:rPr>
        <w:t>PMP</w:t>
      </w:r>
      <w:r>
        <w:rPr>
          <w:rFonts w:ascii="PingFang SC" w:hAnsi="PingFang SC" w:eastAsia="PingFang SC"/>
          <w:b w:val="0"/>
          <w:color w:val="FFFFFF"/>
          <w:sz w:val="18"/>
        </w:rPr>
        <w:t xml:space="preserve"> (2017.11)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000000"/>
          <w:sz w:val="20"/>
        </w:rPr>
        <w:t>ITIL® Foundation</w:t>
      </w:r>
      <w:r>
        <w:rPr>
          <w:rFonts w:ascii="PingFang SC" w:hAnsi="PingFang SC" w:eastAsia="PingFang SC"/>
          <w:b w:val="0"/>
          <w:color w:val="FFFFFF"/>
          <w:sz w:val="18"/>
        </w:rPr>
        <w:t xml:space="preserve"> (2017.02)</w:t>
      </w:r>
    </w:p>
    <w:p>
      <w:pPr>
        <w:spacing w:before="320" w:after="120" w:line="324" w:lineRule="auto"/>
        <w:jc w:val="left"/>
        <w:pBdr>
          <w:left w:val="single" w:sz="4" w:color="bdbbff"/>
        </w:pBdr>
      </w:pPr>
      <w:r>
        <w:rPr>
          <w:rFonts w:ascii="PingFang SC" w:hAnsi="PingFang SC" w:eastAsia="PingFang SC"/>
          <w:b w:val="0"/>
          <w:color w:val="000000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 w:val="0"/>
          <w:color w:val="000000"/>
          <w:sz w:val="28"/>
        </w:rPr>
        <w:t>天津工业大学</w:t>
      </w:r>
      <w:r>
        <w:rPr>
          <w:rFonts w:ascii="PingFang SC" w:hAnsi="PingFang SC" w:eastAsia="PingFang SC"/>
          <w:b/>
          <w:color w:val="010120"/>
          <w:sz w:val="20"/>
        </w:rPr>
        <w:t xml:space="preserve">  【双一流】</w:t>
      </w:r>
      <w:r>
        <w:rPr>
          <w:rFonts w:ascii="PingFang SC" w:hAnsi="PingFang SC" w:eastAsia="PingFang SC"/>
          <w:b w:val="0"/>
          <w:color w:val="FFFFFF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000000"/>
          <w:sz w:val="22"/>
        </w:rPr>
        <w:t>软件工程本科</w:t>
      </w:r>
    </w:p>
    <w:sectPr w:rsidR="00FC693F" w:rsidRPr="0006063C" w:rsidSect="00034616">
      <w:pgSz w:w="11906" w:h="16838"/>
      <w:pgMar w:top="850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